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66" w:rsidRPr="00ED1C66" w:rsidRDefault="00ED1C66" w:rsidP="00ED1C66">
      <w:pPr>
        <w:pStyle w:val="1"/>
        <w:keepLines w:val="0"/>
        <w:spacing w:before="240" w:after="60" w:line="240" w:lineRule="auto"/>
        <w:rPr>
          <w:rFonts w:ascii="Times New Roman" w:eastAsia="Times New Roman" w:hAnsi="Times New Roman" w:cs="Times New Roman"/>
          <w:color w:val="auto"/>
          <w:kern w:val="32"/>
          <w:sz w:val="32"/>
          <w:szCs w:val="32"/>
        </w:rPr>
      </w:pPr>
      <w:r w:rsidRPr="00ED1C66">
        <w:rPr>
          <w:rFonts w:ascii="Times New Roman" w:eastAsia="Times New Roman" w:hAnsi="Times New Roman" w:cs="Times New Roman"/>
          <w:color w:val="auto"/>
          <w:kern w:val="32"/>
          <w:sz w:val="32"/>
          <w:szCs w:val="32"/>
        </w:rPr>
        <w:t>Supplementary materials</w:t>
      </w:r>
    </w:p>
    <w:p w:rsidR="00ED1C66" w:rsidRPr="00ED1C66" w:rsidRDefault="00ED1C66" w:rsidP="00B95EA6">
      <w:pPr>
        <w:pStyle w:val="20"/>
        <w:numPr>
          <w:ilvl w:val="0"/>
          <w:numId w:val="0"/>
        </w:numPr>
        <w:jc w:val="both"/>
        <w:rPr>
          <w:rFonts w:ascii="Times New Roman" w:hAnsi="Times New Roman" w:cs="Times New Roman"/>
          <w:sz w:val="28"/>
        </w:rPr>
      </w:pPr>
      <w:r w:rsidRPr="00ED1C66">
        <w:rPr>
          <w:rFonts w:ascii="Times New Roman" w:hAnsi="Times New Roman" w:cs="Times New Roman"/>
          <w:sz w:val="28"/>
        </w:rPr>
        <w:t>Supplementary material 1 Literature search</w:t>
      </w:r>
    </w:p>
    <w:p w:rsidR="00ED1C66" w:rsidRDefault="00ED1C66" w:rsidP="00ED1C66">
      <w:pPr>
        <w:spacing w:line="240" w:lineRule="auto"/>
        <w:ind w:left="1440" w:hanging="1440"/>
      </w:pPr>
    </w:p>
    <w:p w:rsidR="00ED1C66" w:rsidRPr="00ED1C66" w:rsidRDefault="00ED1C66" w:rsidP="00ED1C66">
      <w:pPr>
        <w:autoSpaceDE w:val="0"/>
        <w:autoSpaceDN w:val="0"/>
        <w:adjustRightInd w:val="0"/>
        <w:spacing w:after="0" w:line="240" w:lineRule="auto"/>
        <w:rPr>
          <w:rFonts w:ascii="Georgia" w:hAnsi="Georgia" w:cs="Georgia"/>
          <w:color w:val="000000"/>
        </w:rPr>
      </w:pPr>
      <w:r w:rsidRPr="00ED1C66">
        <w:rPr>
          <w:rFonts w:ascii="Georgia" w:hAnsi="Georgia" w:cs="Georgia"/>
          <w:color w:val="000000"/>
        </w:rPr>
        <w:t xml:space="preserve">Databases: </w:t>
      </w:r>
      <w:r w:rsidRPr="00ED1C66">
        <w:rPr>
          <w:rFonts w:cs="Georgia"/>
          <w:color w:val="000000"/>
        </w:rPr>
        <w:t xml:space="preserve">Ovid MEDLINE(R), Embase (Ovid). </w:t>
      </w:r>
      <w:r w:rsidRPr="00ED1C66">
        <w:rPr>
          <w:rFonts w:ascii="Georgia" w:hAnsi="Georgia" w:cs="Georgia"/>
          <w:color w:val="000000"/>
        </w:rPr>
        <w:t xml:space="preserve">Cochrane Library: Cochrane Database of Systematic Reviews, Other Reviews (DARE), Cochrane Central Register of Controlled Trials (Central), Health Technology Assessments (HTA), Centre for Reviews and Dissemination: DARE, HTA, NHS EED. Web of Science, PubMed, SweMed+, SBU, Google scholar, PROSPERO. </w:t>
      </w:r>
    </w:p>
    <w:p w:rsidR="00ED1C66" w:rsidRPr="00ED1C66" w:rsidRDefault="00ED1C66" w:rsidP="00ED1C66">
      <w:pPr>
        <w:autoSpaceDE w:val="0"/>
        <w:autoSpaceDN w:val="0"/>
        <w:adjustRightInd w:val="0"/>
        <w:spacing w:after="0" w:line="240" w:lineRule="auto"/>
        <w:rPr>
          <w:rFonts w:ascii="Georgia" w:hAnsi="Georgia" w:cs="Georgia"/>
          <w:color w:val="000000"/>
        </w:rPr>
      </w:pPr>
      <w:r w:rsidRPr="00ED1C66">
        <w:rPr>
          <w:rFonts w:ascii="Georgia" w:hAnsi="Georgia" w:cs="Georgia"/>
          <w:color w:val="000000"/>
        </w:rPr>
        <w:t>Date:</w:t>
      </w:r>
      <w:r w:rsidRPr="00ED1C66">
        <w:rPr>
          <w:rFonts w:ascii="Georgia" w:hAnsi="Georgia" w:cs="Georgia"/>
          <w:color w:val="000000"/>
        </w:rPr>
        <w:tab/>
        <w:t>2015.02.26.</w:t>
      </w:r>
    </w:p>
    <w:p w:rsidR="00ED1C66" w:rsidRPr="00ED1C66" w:rsidRDefault="00ED1C66" w:rsidP="00ED1C66">
      <w:pPr>
        <w:autoSpaceDE w:val="0"/>
        <w:autoSpaceDN w:val="0"/>
        <w:adjustRightInd w:val="0"/>
        <w:spacing w:after="0" w:line="240" w:lineRule="auto"/>
        <w:rPr>
          <w:rFonts w:ascii="Georgia" w:hAnsi="Georgia" w:cs="Georgia"/>
          <w:color w:val="000000"/>
        </w:rPr>
      </w:pPr>
      <w:r w:rsidRPr="00ED1C66">
        <w:rPr>
          <w:rFonts w:ascii="Georgia" w:hAnsi="Georgia" w:cs="Georgia"/>
          <w:color w:val="000000"/>
        </w:rPr>
        <w:t>Update:</w:t>
      </w:r>
      <w:r>
        <w:rPr>
          <w:rFonts w:ascii="Georgia" w:hAnsi="Georgia" w:cs="Georgia"/>
          <w:color w:val="000000"/>
        </w:rPr>
        <w:t xml:space="preserve"> </w:t>
      </w:r>
      <w:r w:rsidRPr="00ED1C66">
        <w:rPr>
          <w:rFonts w:ascii="Georgia" w:hAnsi="Georgia" w:cs="Georgia"/>
          <w:color w:val="000000"/>
        </w:rPr>
        <w:t>2015.11.09 updated search for RCT</w:t>
      </w:r>
    </w:p>
    <w:p w:rsidR="00ED1C66" w:rsidRPr="00ED1C66" w:rsidRDefault="00ED1C66" w:rsidP="00ED1C66">
      <w:pPr>
        <w:autoSpaceDE w:val="0"/>
        <w:autoSpaceDN w:val="0"/>
        <w:adjustRightInd w:val="0"/>
        <w:spacing w:after="0" w:line="240" w:lineRule="auto"/>
        <w:rPr>
          <w:rFonts w:ascii="Georgia" w:hAnsi="Georgia" w:cs="Georgia"/>
          <w:color w:val="000000"/>
        </w:rPr>
      </w:pPr>
      <w:r w:rsidRPr="00ED1C66">
        <w:rPr>
          <w:rFonts w:ascii="Georgia" w:hAnsi="Georgia" w:cs="Georgia"/>
          <w:color w:val="000000"/>
        </w:rPr>
        <w:t>Study designs: Systematic Review using Ovids search filter "reviews (maximizes specificity)" and text words: ((systematic* or literature) adj2 (review* or overview*)) in title or abstract. Search fliter Ovids "therapy (maximizes specificity)" and search filters for RCT’s from Cochrane Handbook, chapter 6.4.11.1/2.</w:t>
      </w:r>
    </w:p>
    <w:p w:rsidR="00ED1C66" w:rsidRPr="00ED1C66" w:rsidRDefault="00ED1C66" w:rsidP="00ED1C66">
      <w:pPr>
        <w:autoSpaceDE w:val="0"/>
        <w:autoSpaceDN w:val="0"/>
        <w:adjustRightInd w:val="0"/>
        <w:spacing w:after="0" w:line="240" w:lineRule="auto"/>
        <w:rPr>
          <w:rFonts w:ascii="Georgia" w:hAnsi="Georgia" w:cs="Georgia"/>
          <w:color w:val="000000"/>
        </w:rPr>
      </w:pPr>
      <w:r w:rsidRPr="00ED1C66">
        <w:rPr>
          <w:rFonts w:ascii="Georgia" w:hAnsi="Georgia" w:cs="Georgia"/>
          <w:color w:val="000000"/>
        </w:rPr>
        <w:t>Limits:</w:t>
      </w:r>
      <w:r w:rsidRPr="00ED1C66">
        <w:rPr>
          <w:rFonts w:ascii="Georgia" w:hAnsi="Georgia" w:cs="Georgia"/>
          <w:color w:val="000000"/>
        </w:rPr>
        <w:tab/>
      </w:r>
      <w:r>
        <w:rPr>
          <w:rFonts w:ascii="Georgia" w:hAnsi="Georgia" w:cs="Georgia"/>
          <w:color w:val="000000"/>
        </w:rPr>
        <w:t xml:space="preserve"> </w:t>
      </w:r>
      <w:r w:rsidRPr="00ED1C66">
        <w:rPr>
          <w:rFonts w:ascii="Georgia" w:hAnsi="Georgia" w:cs="Georgia"/>
          <w:color w:val="000000"/>
        </w:rPr>
        <w:t xml:space="preserve">2013-2015 - Randomized controlled trials </w:t>
      </w:r>
    </w:p>
    <w:p w:rsidR="00ED1C66" w:rsidRPr="00ED1C66" w:rsidRDefault="00ED1C66" w:rsidP="00ED1C66">
      <w:pPr>
        <w:autoSpaceDE w:val="0"/>
        <w:autoSpaceDN w:val="0"/>
        <w:adjustRightInd w:val="0"/>
        <w:spacing w:after="0" w:line="240" w:lineRule="auto"/>
        <w:rPr>
          <w:rFonts w:ascii="Georgia" w:hAnsi="Georgia" w:cs="Georgia"/>
          <w:color w:val="000000"/>
        </w:rPr>
      </w:pPr>
      <w:r w:rsidRPr="00ED1C66">
        <w:rPr>
          <w:rFonts w:ascii="Georgia" w:hAnsi="Georgia" w:cs="Georgia"/>
          <w:color w:val="000000"/>
        </w:rPr>
        <w:t>Results: 1</w:t>
      </w:r>
      <w:r w:rsidR="00D8427B">
        <w:rPr>
          <w:rFonts w:ascii="Georgia" w:hAnsi="Georgia" w:cs="Georgia"/>
          <w:color w:val="000000"/>
        </w:rPr>
        <w:t>006</w:t>
      </w:r>
      <w:r w:rsidRPr="00ED1C66">
        <w:rPr>
          <w:rFonts w:ascii="Georgia" w:hAnsi="Georgia" w:cs="Georgia"/>
          <w:color w:val="000000"/>
        </w:rPr>
        <w:t xml:space="preserve"> records (277 SR + 729 RCT </w:t>
      </w:r>
      <w:r w:rsidR="00D8427B">
        <w:rPr>
          <w:rFonts w:ascii="Georgia" w:hAnsi="Georgia" w:cs="Georgia"/>
          <w:color w:val="000000"/>
        </w:rPr>
        <w:t>)</w:t>
      </w:r>
    </w:p>
    <w:p w:rsidR="00ED1C66" w:rsidRPr="00F7606D" w:rsidRDefault="00ED1C66" w:rsidP="00ED1C66">
      <w:pPr>
        <w:autoSpaceDE w:val="0"/>
        <w:autoSpaceDN w:val="0"/>
        <w:adjustRightInd w:val="0"/>
        <w:spacing w:after="0" w:line="240" w:lineRule="auto"/>
      </w:pPr>
      <w:r w:rsidRPr="00ED1C66">
        <w:rPr>
          <w:rFonts w:ascii="Georgia" w:hAnsi="Georgia" w:cs="Georgia"/>
          <w:color w:val="000000"/>
        </w:rPr>
        <w:t>Searched by: Ingrid Harboe, research librarian</w:t>
      </w:r>
    </w:p>
    <w:p w:rsidR="00ED1C66" w:rsidRPr="00ED1C66" w:rsidRDefault="00ED1C66" w:rsidP="00ED1C66">
      <w:pPr>
        <w:autoSpaceDE w:val="0"/>
        <w:autoSpaceDN w:val="0"/>
        <w:adjustRightInd w:val="0"/>
        <w:spacing w:after="0" w:line="240" w:lineRule="auto"/>
        <w:rPr>
          <w:rFonts w:ascii="Georgia" w:hAnsi="Georgia" w:cs="Georgia"/>
          <w:b/>
          <w:bCs/>
          <w:color w:val="000000"/>
          <w:sz w:val="24"/>
          <w:szCs w:val="24"/>
        </w:rPr>
      </w:pPr>
      <w:r w:rsidRPr="00ED1C66">
        <w:rPr>
          <w:rFonts w:ascii="Georgia" w:hAnsi="Georgia" w:cs="Georgia"/>
          <w:b/>
          <w:bCs/>
          <w:color w:val="000000"/>
          <w:sz w:val="24"/>
          <w:szCs w:val="24"/>
        </w:rPr>
        <w:t>Search strategies:</w:t>
      </w:r>
    </w:p>
    <w:p w:rsidR="00ED1C66" w:rsidRPr="00F7606D" w:rsidRDefault="00ED1C66" w:rsidP="00ED1C66">
      <w:pPr>
        <w:autoSpaceDE w:val="0"/>
        <w:autoSpaceDN w:val="0"/>
        <w:adjustRightInd w:val="0"/>
        <w:spacing w:after="0" w:line="240" w:lineRule="auto"/>
      </w:pPr>
      <w:r w:rsidRPr="00ED1C66">
        <w:rPr>
          <w:rFonts w:ascii="Georgia" w:hAnsi="Georgia" w:cs="Georgia"/>
          <w:b/>
          <w:bCs/>
          <w:color w:val="000000"/>
        </w:rPr>
        <w:t>Databases</w:t>
      </w:r>
      <w:r w:rsidRPr="00F7606D">
        <w:rPr>
          <w:b/>
        </w:rPr>
        <w:t>: Embase</w:t>
      </w:r>
      <w:r w:rsidRPr="00F7606D">
        <w:t> 1974 to 2015 February 25,  </w:t>
      </w:r>
      <w:r w:rsidRPr="00ED1C66">
        <w:t>Ovid MEDLINE(R)</w:t>
      </w:r>
      <w:r w:rsidRPr="00F7606D">
        <w:t xml:space="preserve"> In-Process &amp; Other Non-Indexed Citations, Ovid MEDLINE(R) Daily, Ovid MEDLINE(R) and Ovid OLDMEDLINE(R) 1946 to </w:t>
      </w:r>
      <w:r>
        <w:t xml:space="preserve"> </w:t>
      </w:r>
      <w:r w:rsidRPr="00F7606D">
        <w:t>resent</w:t>
      </w:r>
    </w:p>
    <w:p w:rsidR="00ED1C66" w:rsidRPr="00B4105F" w:rsidRDefault="00ED1C66" w:rsidP="00D8427B">
      <w:pPr>
        <w:spacing w:after="0" w:line="240" w:lineRule="auto"/>
        <w:rPr>
          <w:lang w:val="fr-FR"/>
        </w:rPr>
      </w:pPr>
      <w:r w:rsidRPr="00B4105F">
        <w:rPr>
          <w:lang w:val="fr-FR"/>
        </w:rPr>
        <w:t xml:space="preserve">Embase:  oemezd </w:t>
      </w:r>
    </w:p>
    <w:p w:rsidR="00ED1C66" w:rsidRPr="00B4105F" w:rsidRDefault="00ED1C66" w:rsidP="00D8427B">
      <w:pPr>
        <w:spacing w:after="0" w:line="240" w:lineRule="auto"/>
        <w:rPr>
          <w:lang w:val="fr-FR"/>
        </w:rPr>
      </w:pPr>
      <w:r w:rsidRPr="00B4105F">
        <w:rPr>
          <w:lang w:val="fr-FR"/>
        </w:rPr>
        <w:t>MEDLINE: pmoz</w:t>
      </w:r>
    </w:p>
    <w:p w:rsidR="00ED1C66" w:rsidRPr="00ED1C66" w:rsidRDefault="00ED1C66" w:rsidP="00ED1C66">
      <w:pPr>
        <w:spacing w:after="0" w:line="240" w:lineRule="auto"/>
        <w:rPr>
          <w:rFonts w:ascii="Georgia" w:hAnsi="Georgia" w:cs="Georgia"/>
          <w:b/>
          <w:bCs/>
          <w:color w:val="000000"/>
        </w:rPr>
      </w:pPr>
      <w:r w:rsidRPr="00ED1C66">
        <w:rPr>
          <w:rFonts w:ascii="Georgia" w:hAnsi="Georgia" w:cs="Georgia"/>
          <w:b/>
          <w:bCs/>
          <w:color w:val="000000"/>
        </w:rPr>
        <w:t>#Searches</w:t>
      </w:r>
      <w:r>
        <w:rPr>
          <w:rFonts w:ascii="Georgia" w:hAnsi="Georgia" w:cs="Georgia"/>
          <w:b/>
          <w:bCs/>
          <w:color w:val="000000"/>
        </w:rPr>
        <w:t xml:space="preserve"> </w:t>
      </w:r>
      <w:r w:rsidRPr="00ED1C66">
        <w:rPr>
          <w:rFonts w:ascii="Georgia" w:hAnsi="Georgia" w:cs="Georgia"/>
          <w:b/>
          <w:bCs/>
          <w:color w:val="000000"/>
        </w:rPr>
        <w:t>Results</w:t>
      </w:r>
    </w:p>
    <w:p w:rsidR="00ED1C66" w:rsidRPr="00ED1C66" w:rsidRDefault="00ED1C66" w:rsidP="00ED1C66">
      <w:pPr>
        <w:autoSpaceDE w:val="0"/>
        <w:autoSpaceDN w:val="0"/>
        <w:adjustRightInd w:val="0"/>
        <w:spacing w:after="0" w:line="240" w:lineRule="auto"/>
        <w:rPr>
          <w:lang w:val="fr-FR"/>
        </w:rPr>
      </w:pPr>
      <w:r w:rsidRPr="00ED1C66">
        <w:rPr>
          <w:lang w:val="fr-FR"/>
        </w:rPr>
        <w:t>1</w:t>
      </w:r>
      <w:r>
        <w:rPr>
          <w:lang w:val="fr-FR"/>
        </w:rPr>
        <w:t xml:space="preserve"> </w:t>
      </w:r>
      <w:r w:rsidRPr="00D8427B">
        <w:rPr>
          <w:lang w:val="fr-FR"/>
        </w:rPr>
        <w:t>Multiple</w:t>
      </w:r>
      <w:r w:rsidRPr="00ED1C66">
        <w:rPr>
          <w:lang w:val="fr-FR"/>
        </w:rPr>
        <w:t xml:space="preserve"> sclerosis/ or Multiple sclerosis, chronic progressive/ or Multiple sclerosis, relapsing-remitting/ or Neuromyelitis Optica/ use pmoz [Medline]</w:t>
      </w:r>
      <w:r w:rsidRPr="00ED1C66">
        <w:rPr>
          <w:lang w:val="fr-FR"/>
        </w:rPr>
        <w:tab/>
        <w:t>130140</w:t>
      </w:r>
    </w:p>
    <w:p w:rsidR="00ED1C66" w:rsidRPr="00ED1C66" w:rsidRDefault="00ED1C66" w:rsidP="00ED1C66">
      <w:pPr>
        <w:spacing w:after="0" w:line="240" w:lineRule="auto"/>
        <w:rPr>
          <w:lang w:val="fr-FR"/>
        </w:rPr>
      </w:pPr>
      <w:r w:rsidRPr="00ED1C66">
        <w:rPr>
          <w:lang w:val="fr-FR"/>
        </w:rPr>
        <w:t>2</w:t>
      </w:r>
      <w:r>
        <w:rPr>
          <w:lang w:val="fr-FR"/>
        </w:rPr>
        <w:t xml:space="preserve"> </w:t>
      </w:r>
      <w:r w:rsidRPr="00ED1C66">
        <w:rPr>
          <w:lang w:val="fr-FR"/>
        </w:rPr>
        <w:t>Multiple sclerosis/ use oemezd [Embase]</w:t>
      </w:r>
      <w:r w:rsidRPr="00ED1C66">
        <w:rPr>
          <w:lang w:val="fr-FR"/>
        </w:rPr>
        <w:tab/>
        <w:t>84701</w:t>
      </w:r>
    </w:p>
    <w:p w:rsidR="00ED1C66" w:rsidRPr="00ED1C66" w:rsidRDefault="00ED1C66" w:rsidP="00ED1C66">
      <w:pPr>
        <w:spacing w:after="0" w:line="240" w:lineRule="auto"/>
        <w:rPr>
          <w:lang w:val="fr-FR"/>
        </w:rPr>
      </w:pPr>
      <w:r w:rsidRPr="00ED1C66">
        <w:rPr>
          <w:lang w:val="fr-FR"/>
        </w:rPr>
        <w:t>3</w:t>
      </w:r>
      <w:r>
        <w:rPr>
          <w:lang w:val="fr-FR"/>
        </w:rPr>
        <w:t xml:space="preserve"> </w:t>
      </w:r>
      <w:r w:rsidRPr="00ED1C66">
        <w:rPr>
          <w:lang w:val="fr-FR"/>
        </w:rPr>
        <w:t>((multiple or disseminated) adj sclerosis).tw.</w:t>
      </w:r>
      <w:r w:rsidRPr="00ED1C66">
        <w:rPr>
          <w:lang w:val="fr-FR"/>
        </w:rPr>
        <w:tab/>
        <w:t>124063</w:t>
      </w:r>
    </w:p>
    <w:p w:rsidR="00ED1C66" w:rsidRPr="00ED1C66" w:rsidRDefault="00ED1C66" w:rsidP="00ED1C66">
      <w:pPr>
        <w:spacing w:after="0" w:line="240" w:lineRule="auto"/>
        <w:rPr>
          <w:lang w:val="fr-FR"/>
        </w:rPr>
      </w:pPr>
      <w:r w:rsidRPr="00ED1C66">
        <w:rPr>
          <w:lang w:val="fr-FR"/>
        </w:rPr>
        <w:t>4</w:t>
      </w:r>
      <w:r>
        <w:rPr>
          <w:lang w:val="fr-FR"/>
        </w:rPr>
        <w:t xml:space="preserve"> </w:t>
      </w:r>
      <w:r w:rsidRPr="00ED1C66">
        <w:rPr>
          <w:lang w:val="fr-FR"/>
        </w:rPr>
        <w:t>(sclerosis multiplex or Neuromyelitis Optica).tw.</w:t>
      </w:r>
      <w:r w:rsidR="004A331F">
        <w:rPr>
          <w:lang w:val="fr-FR"/>
        </w:rPr>
        <w:t xml:space="preserve"> </w:t>
      </w:r>
      <w:r w:rsidRPr="00ED1C66">
        <w:rPr>
          <w:lang w:val="fr-FR"/>
        </w:rPr>
        <w:t>5340</w:t>
      </w:r>
    </w:p>
    <w:p w:rsidR="00ED1C66" w:rsidRPr="00ED1C66" w:rsidRDefault="00ED1C66" w:rsidP="00ED1C66">
      <w:pPr>
        <w:spacing w:after="0" w:line="240" w:lineRule="auto"/>
        <w:rPr>
          <w:lang w:val="fr-FR"/>
        </w:rPr>
      </w:pPr>
      <w:r w:rsidRPr="00ED1C66">
        <w:rPr>
          <w:lang w:val="fr-FR"/>
        </w:rPr>
        <w:t>5</w:t>
      </w:r>
      <w:r>
        <w:rPr>
          <w:lang w:val="fr-FR"/>
        </w:rPr>
        <w:t xml:space="preserve"> </w:t>
      </w:r>
      <w:r w:rsidRPr="00ED1C66">
        <w:rPr>
          <w:lang w:val="fr-FR"/>
        </w:rPr>
        <w:t>((progressive or relapsing or remitting or aggressive or inflammatory or active) adj MS).tw.</w:t>
      </w:r>
      <w:r w:rsidR="00D8427B">
        <w:rPr>
          <w:lang w:val="fr-FR"/>
        </w:rPr>
        <w:t xml:space="preserve"> </w:t>
      </w:r>
      <w:r w:rsidRPr="00ED1C66">
        <w:rPr>
          <w:lang w:val="fr-FR"/>
        </w:rPr>
        <w:t>9306</w:t>
      </w:r>
    </w:p>
    <w:p w:rsidR="00ED1C66" w:rsidRPr="00ED1C66" w:rsidRDefault="00ED1C66" w:rsidP="00ED1C66">
      <w:pPr>
        <w:spacing w:after="0" w:line="240" w:lineRule="auto"/>
        <w:rPr>
          <w:lang w:val="fr-FR"/>
        </w:rPr>
      </w:pPr>
      <w:r w:rsidRPr="00ED1C66">
        <w:rPr>
          <w:lang w:val="fr-FR"/>
        </w:rPr>
        <w:t>6</w:t>
      </w:r>
      <w:r>
        <w:rPr>
          <w:lang w:val="fr-FR"/>
        </w:rPr>
        <w:t xml:space="preserve"> </w:t>
      </w:r>
      <w:r w:rsidRPr="00ED1C66">
        <w:rPr>
          <w:lang w:val="fr-FR"/>
        </w:rPr>
        <w:t>(SPMS or PPMS or RRMS).tw.</w:t>
      </w:r>
      <w:r w:rsidRPr="00ED1C66">
        <w:rPr>
          <w:lang w:val="fr-FR"/>
        </w:rPr>
        <w:tab/>
        <w:t>7859</w:t>
      </w:r>
    </w:p>
    <w:p w:rsidR="00ED1C66" w:rsidRPr="00ED1C66" w:rsidRDefault="00ED1C66" w:rsidP="00ED1C66">
      <w:pPr>
        <w:spacing w:after="0" w:line="240" w:lineRule="auto"/>
        <w:rPr>
          <w:lang w:val="fr-FR"/>
        </w:rPr>
      </w:pPr>
      <w:r w:rsidRPr="00ED1C66">
        <w:rPr>
          <w:lang w:val="fr-FR"/>
        </w:rPr>
        <w:t>7</w:t>
      </w:r>
      <w:r>
        <w:rPr>
          <w:lang w:val="fr-FR"/>
        </w:rPr>
        <w:t xml:space="preserve"> </w:t>
      </w:r>
      <w:r w:rsidRPr="00ED1C66">
        <w:rPr>
          <w:lang w:val="fr-FR"/>
        </w:rPr>
        <w:t>MS.ti.</w:t>
      </w:r>
      <w:r w:rsidRPr="00ED1C66">
        <w:rPr>
          <w:lang w:val="fr-FR"/>
        </w:rPr>
        <w:tab/>
        <w:t>48528</w:t>
      </w:r>
    </w:p>
    <w:p w:rsidR="00ED1C66" w:rsidRPr="00ED1C66" w:rsidRDefault="00ED1C66" w:rsidP="00ED1C66">
      <w:pPr>
        <w:spacing w:after="0" w:line="240" w:lineRule="auto"/>
        <w:rPr>
          <w:lang w:val="fr-FR"/>
        </w:rPr>
      </w:pPr>
      <w:r w:rsidRPr="00ED1C66">
        <w:rPr>
          <w:lang w:val="fr-FR"/>
        </w:rPr>
        <w:t>8</w:t>
      </w:r>
      <w:r>
        <w:rPr>
          <w:lang w:val="fr-FR"/>
        </w:rPr>
        <w:t xml:space="preserve"> </w:t>
      </w:r>
      <w:r w:rsidRPr="00ED1C66">
        <w:rPr>
          <w:lang w:val="fr-FR"/>
        </w:rPr>
        <w:t>or/1-7</w:t>
      </w:r>
      <w:r w:rsidR="004A331F">
        <w:rPr>
          <w:lang w:val="fr-FR"/>
        </w:rPr>
        <w:t xml:space="preserve"> </w:t>
      </w:r>
      <w:r w:rsidRPr="00ED1C66">
        <w:rPr>
          <w:lang w:val="fr-FR"/>
        </w:rPr>
        <w:t>195757</w:t>
      </w:r>
    </w:p>
    <w:p w:rsidR="00ED1C66" w:rsidRPr="00ED1C66" w:rsidRDefault="00ED1C66" w:rsidP="00ED1C66">
      <w:pPr>
        <w:spacing w:after="0" w:line="240" w:lineRule="auto"/>
        <w:rPr>
          <w:lang w:val="fr-FR"/>
        </w:rPr>
      </w:pPr>
      <w:r w:rsidRPr="00ED1C66">
        <w:rPr>
          <w:lang w:val="fr-FR"/>
        </w:rPr>
        <w:t>9</w:t>
      </w:r>
      <w:r>
        <w:rPr>
          <w:lang w:val="fr-FR"/>
        </w:rPr>
        <w:t xml:space="preserve"> </w:t>
      </w:r>
      <w:r w:rsidRPr="00ED1C66">
        <w:rPr>
          <w:lang w:val="fr-FR"/>
        </w:rPr>
        <w:t>Fumaric acid dimethyl ester/ use oemezd</w:t>
      </w:r>
      <w:r w:rsidR="004A331F">
        <w:rPr>
          <w:lang w:val="fr-FR"/>
        </w:rPr>
        <w:t xml:space="preserve"> </w:t>
      </w:r>
      <w:r w:rsidRPr="00ED1C66">
        <w:rPr>
          <w:lang w:val="fr-FR"/>
        </w:rPr>
        <w:t>1068</w:t>
      </w:r>
    </w:p>
    <w:p w:rsidR="00ED1C66" w:rsidRPr="00ED1C66" w:rsidRDefault="00ED1C66" w:rsidP="00ED1C66">
      <w:pPr>
        <w:spacing w:after="0" w:line="240" w:lineRule="auto"/>
        <w:rPr>
          <w:lang w:val="fr-FR"/>
        </w:rPr>
      </w:pPr>
      <w:r w:rsidRPr="00ED1C66">
        <w:rPr>
          <w:lang w:val="fr-FR"/>
        </w:rPr>
        <w:t>10</w:t>
      </w:r>
      <w:r>
        <w:rPr>
          <w:lang w:val="fr-FR"/>
        </w:rPr>
        <w:t xml:space="preserve"> </w:t>
      </w:r>
      <w:r w:rsidRPr="00ED1C66">
        <w:rPr>
          <w:lang w:val="fr-FR"/>
        </w:rPr>
        <w:t>(dimethyl fumarate* or dimethylfumarate*).tw.</w:t>
      </w:r>
      <w:r w:rsidR="004A331F">
        <w:rPr>
          <w:lang w:val="fr-FR"/>
        </w:rPr>
        <w:t xml:space="preserve"> </w:t>
      </w:r>
      <w:r w:rsidRPr="00ED1C66">
        <w:rPr>
          <w:lang w:val="fr-FR"/>
        </w:rPr>
        <w:t>1054</w:t>
      </w:r>
    </w:p>
    <w:p w:rsidR="00ED1C66" w:rsidRPr="00ED1C66" w:rsidRDefault="00ED1C66" w:rsidP="00ED1C66">
      <w:pPr>
        <w:spacing w:after="0" w:line="240" w:lineRule="auto"/>
        <w:rPr>
          <w:lang w:val="fr-FR"/>
        </w:rPr>
      </w:pPr>
      <w:r w:rsidRPr="00ED1C66">
        <w:rPr>
          <w:lang w:val="fr-FR"/>
        </w:rPr>
        <w:t>11</w:t>
      </w:r>
      <w:r>
        <w:rPr>
          <w:lang w:val="fr-FR"/>
        </w:rPr>
        <w:t xml:space="preserve"> </w:t>
      </w:r>
      <w:r w:rsidRPr="00ED1C66">
        <w:rPr>
          <w:lang w:val="fr-FR"/>
        </w:rPr>
        <w:t>Teriflunomide/ use oemezd</w:t>
      </w:r>
      <w:r w:rsidRPr="00ED1C66">
        <w:rPr>
          <w:lang w:val="fr-FR"/>
        </w:rPr>
        <w:tab/>
        <w:t>1128</w:t>
      </w:r>
    </w:p>
    <w:p w:rsidR="00ED1C66" w:rsidRPr="00ED1C66" w:rsidRDefault="00ED1C66" w:rsidP="00ED1C66">
      <w:pPr>
        <w:spacing w:after="0" w:line="240" w:lineRule="auto"/>
        <w:rPr>
          <w:lang w:val="fr-FR"/>
        </w:rPr>
      </w:pPr>
      <w:r w:rsidRPr="00ED1C66">
        <w:rPr>
          <w:lang w:val="fr-FR"/>
        </w:rPr>
        <w:t>12</w:t>
      </w:r>
      <w:r>
        <w:rPr>
          <w:lang w:val="fr-FR"/>
        </w:rPr>
        <w:t xml:space="preserve"> </w:t>
      </w:r>
      <w:r w:rsidRPr="00ED1C66">
        <w:rPr>
          <w:lang w:val="fr-FR"/>
        </w:rPr>
        <w:t>teriflunomide.tw.</w:t>
      </w:r>
      <w:r w:rsidR="004A331F">
        <w:rPr>
          <w:lang w:val="fr-FR"/>
        </w:rPr>
        <w:t xml:space="preserve"> </w:t>
      </w:r>
      <w:r w:rsidRPr="00ED1C66">
        <w:rPr>
          <w:lang w:val="fr-FR"/>
        </w:rPr>
        <w:t>502</w:t>
      </w:r>
    </w:p>
    <w:p w:rsidR="00ED1C66" w:rsidRPr="00ED1C66" w:rsidRDefault="00ED1C66" w:rsidP="00ED1C66">
      <w:pPr>
        <w:spacing w:after="0" w:line="240" w:lineRule="auto"/>
        <w:rPr>
          <w:lang w:val="fr-FR"/>
        </w:rPr>
      </w:pPr>
      <w:r w:rsidRPr="00ED1C66">
        <w:rPr>
          <w:lang w:val="fr-FR"/>
        </w:rPr>
        <w:t>13</w:t>
      </w:r>
      <w:r>
        <w:rPr>
          <w:lang w:val="fr-FR"/>
        </w:rPr>
        <w:t xml:space="preserve"> </w:t>
      </w:r>
      <w:r w:rsidRPr="00ED1C66">
        <w:rPr>
          <w:lang w:val="fr-FR"/>
        </w:rPr>
        <w:t>Interferon-beta/ use pmoz</w:t>
      </w:r>
      <w:r w:rsidRPr="00ED1C66">
        <w:rPr>
          <w:lang w:val="fr-FR"/>
        </w:rPr>
        <w:tab/>
        <w:t>7464</w:t>
      </w:r>
    </w:p>
    <w:p w:rsidR="00ED1C66" w:rsidRPr="00ED1C66" w:rsidRDefault="00ED1C66" w:rsidP="00ED1C66">
      <w:pPr>
        <w:spacing w:after="0" w:line="240" w:lineRule="auto"/>
        <w:rPr>
          <w:lang w:val="fr-FR"/>
        </w:rPr>
      </w:pPr>
      <w:r w:rsidRPr="00ED1C66">
        <w:rPr>
          <w:lang w:val="fr-FR"/>
        </w:rPr>
        <w:t>14</w:t>
      </w:r>
      <w:r>
        <w:rPr>
          <w:lang w:val="fr-FR"/>
        </w:rPr>
        <w:t xml:space="preserve"> </w:t>
      </w:r>
      <w:r w:rsidRPr="00ED1C66">
        <w:rPr>
          <w:lang w:val="fr-FR"/>
        </w:rPr>
        <w:t>Beta interferon/ use oemezd</w:t>
      </w:r>
      <w:r w:rsidRPr="00ED1C66">
        <w:rPr>
          <w:lang w:val="fr-FR"/>
        </w:rPr>
        <w:tab/>
        <w:t>17923</w:t>
      </w:r>
    </w:p>
    <w:p w:rsidR="00ED1C66" w:rsidRPr="00ED1C66" w:rsidRDefault="00ED1C66" w:rsidP="00ED1C66">
      <w:pPr>
        <w:spacing w:after="0" w:line="240" w:lineRule="auto"/>
        <w:rPr>
          <w:lang w:val="fr-FR"/>
        </w:rPr>
      </w:pPr>
      <w:r w:rsidRPr="00ED1C66">
        <w:rPr>
          <w:lang w:val="fr-FR"/>
        </w:rPr>
        <w:t>15</w:t>
      </w:r>
      <w:r>
        <w:rPr>
          <w:lang w:val="fr-FR"/>
        </w:rPr>
        <w:t xml:space="preserve"> </w:t>
      </w:r>
      <w:r w:rsidRPr="00ED1C66">
        <w:rPr>
          <w:lang w:val="fr-FR"/>
        </w:rPr>
        <w:t>(interferon adj1 beta*).tw.</w:t>
      </w:r>
      <w:r w:rsidRPr="00ED1C66">
        <w:rPr>
          <w:lang w:val="fr-FR"/>
        </w:rPr>
        <w:tab/>
        <w:t>16726</w:t>
      </w:r>
    </w:p>
    <w:p w:rsidR="00ED1C66" w:rsidRPr="00ED1C66" w:rsidRDefault="00ED1C66" w:rsidP="00ED1C66">
      <w:pPr>
        <w:spacing w:after="0" w:line="240" w:lineRule="auto"/>
        <w:rPr>
          <w:lang w:val="fr-FR"/>
        </w:rPr>
      </w:pPr>
      <w:r w:rsidRPr="00ED1C66">
        <w:rPr>
          <w:lang w:val="fr-FR"/>
        </w:rPr>
        <w:t>16</w:t>
      </w:r>
      <w:r>
        <w:rPr>
          <w:lang w:val="fr-FR"/>
        </w:rPr>
        <w:t xml:space="preserve"> </w:t>
      </w:r>
      <w:r w:rsidRPr="00ED1C66">
        <w:rPr>
          <w:lang w:val="fr-FR"/>
        </w:rPr>
        <w:t>Glatiramer/ use oemezd</w:t>
      </w:r>
      <w:r w:rsidRPr="00ED1C66">
        <w:rPr>
          <w:lang w:val="fr-FR"/>
        </w:rPr>
        <w:tab/>
        <w:t>5518</w:t>
      </w:r>
    </w:p>
    <w:p w:rsidR="00ED1C66" w:rsidRPr="00ED1C66" w:rsidRDefault="00ED1C66" w:rsidP="00ED1C66">
      <w:pPr>
        <w:spacing w:after="0" w:line="240" w:lineRule="auto"/>
        <w:rPr>
          <w:lang w:val="fr-FR"/>
        </w:rPr>
      </w:pPr>
      <w:r w:rsidRPr="00ED1C66">
        <w:rPr>
          <w:lang w:val="fr-FR"/>
        </w:rPr>
        <w:t>17</w:t>
      </w:r>
      <w:r>
        <w:rPr>
          <w:lang w:val="fr-FR"/>
        </w:rPr>
        <w:t xml:space="preserve"> </w:t>
      </w:r>
      <w:r w:rsidRPr="00ED1C66">
        <w:rPr>
          <w:lang w:val="fr-FR"/>
        </w:rPr>
        <w:t>(glatirameracetat* or glatiramer acetat*).tw.</w:t>
      </w:r>
      <w:r w:rsidRPr="00ED1C66">
        <w:rPr>
          <w:lang w:val="fr-FR"/>
        </w:rPr>
        <w:tab/>
        <w:t>3213</w:t>
      </w:r>
    </w:p>
    <w:p w:rsidR="00ED1C66" w:rsidRPr="00ED1C66" w:rsidRDefault="00ED1C66" w:rsidP="00ED1C66">
      <w:pPr>
        <w:spacing w:after="0" w:line="240" w:lineRule="auto"/>
        <w:rPr>
          <w:lang w:val="fr-FR"/>
        </w:rPr>
      </w:pPr>
      <w:r w:rsidRPr="00ED1C66">
        <w:rPr>
          <w:lang w:val="fr-FR"/>
        </w:rPr>
        <w:t>18</w:t>
      </w:r>
      <w:r>
        <w:rPr>
          <w:lang w:val="fr-FR"/>
        </w:rPr>
        <w:t xml:space="preserve"> </w:t>
      </w:r>
      <w:r w:rsidRPr="00ED1C66">
        <w:rPr>
          <w:lang w:val="fr-FR"/>
        </w:rPr>
        <w:t>Natalizumab/ use oemezd</w:t>
      </w:r>
      <w:r w:rsidRPr="00ED1C66">
        <w:rPr>
          <w:lang w:val="fr-FR"/>
        </w:rPr>
        <w:tab/>
        <w:t>5744</w:t>
      </w:r>
    </w:p>
    <w:p w:rsidR="00ED1C66" w:rsidRPr="00ED1C66" w:rsidRDefault="00ED1C66" w:rsidP="00ED1C66">
      <w:pPr>
        <w:spacing w:after="0" w:line="240" w:lineRule="auto"/>
        <w:rPr>
          <w:lang w:val="fr-FR"/>
        </w:rPr>
      </w:pPr>
      <w:r w:rsidRPr="00ED1C66">
        <w:rPr>
          <w:lang w:val="fr-FR"/>
        </w:rPr>
        <w:t>19</w:t>
      </w:r>
      <w:r>
        <w:rPr>
          <w:lang w:val="fr-FR"/>
        </w:rPr>
        <w:t xml:space="preserve"> </w:t>
      </w:r>
      <w:r w:rsidRPr="00ED1C66">
        <w:rPr>
          <w:lang w:val="fr-FR"/>
        </w:rPr>
        <w:t>natalizumab.tw.</w:t>
      </w:r>
      <w:r w:rsidR="004A331F">
        <w:rPr>
          <w:lang w:val="fr-FR"/>
        </w:rPr>
        <w:t xml:space="preserve"> </w:t>
      </w:r>
      <w:r w:rsidRPr="00ED1C66">
        <w:rPr>
          <w:lang w:val="fr-FR"/>
        </w:rPr>
        <w:t>3941</w:t>
      </w:r>
    </w:p>
    <w:p w:rsidR="00ED1C66" w:rsidRPr="00ED1C66" w:rsidRDefault="00ED1C66" w:rsidP="00ED1C66">
      <w:pPr>
        <w:spacing w:after="0" w:line="240" w:lineRule="auto"/>
        <w:rPr>
          <w:lang w:val="fr-FR"/>
        </w:rPr>
      </w:pPr>
      <w:r w:rsidRPr="00ED1C66">
        <w:rPr>
          <w:lang w:val="fr-FR"/>
        </w:rPr>
        <w:t>20</w:t>
      </w:r>
      <w:r>
        <w:rPr>
          <w:lang w:val="fr-FR"/>
        </w:rPr>
        <w:t xml:space="preserve"> </w:t>
      </w:r>
      <w:r w:rsidRPr="00ED1C66">
        <w:rPr>
          <w:lang w:val="fr-FR"/>
        </w:rPr>
        <w:t>Fingolimod/ use oemezd</w:t>
      </w:r>
      <w:r w:rsidR="004A331F">
        <w:rPr>
          <w:lang w:val="fr-FR"/>
        </w:rPr>
        <w:t xml:space="preserve"> </w:t>
      </w:r>
      <w:r w:rsidRPr="00ED1C66">
        <w:rPr>
          <w:lang w:val="fr-FR"/>
        </w:rPr>
        <w:t>4436</w:t>
      </w:r>
    </w:p>
    <w:p w:rsidR="00ED1C66" w:rsidRPr="00ED1C66" w:rsidRDefault="00ED1C66" w:rsidP="00ED1C66">
      <w:pPr>
        <w:spacing w:after="0" w:line="240" w:lineRule="auto"/>
        <w:rPr>
          <w:lang w:val="fr-FR"/>
        </w:rPr>
      </w:pPr>
      <w:r w:rsidRPr="00ED1C66">
        <w:rPr>
          <w:lang w:val="fr-FR"/>
        </w:rPr>
        <w:t>21</w:t>
      </w:r>
      <w:r>
        <w:rPr>
          <w:lang w:val="fr-FR"/>
        </w:rPr>
        <w:t xml:space="preserve"> </w:t>
      </w:r>
      <w:r w:rsidRPr="00ED1C66">
        <w:rPr>
          <w:lang w:val="fr-FR"/>
        </w:rPr>
        <w:t>fingolimod.tw.</w:t>
      </w:r>
      <w:r w:rsidR="004A331F">
        <w:rPr>
          <w:lang w:val="fr-FR"/>
        </w:rPr>
        <w:t xml:space="preserve"> </w:t>
      </w:r>
      <w:r w:rsidRPr="00ED1C66">
        <w:rPr>
          <w:lang w:val="fr-FR"/>
        </w:rPr>
        <w:t>2150</w:t>
      </w:r>
    </w:p>
    <w:p w:rsidR="00ED1C66" w:rsidRPr="00ED1C66" w:rsidRDefault="00ED1C66" w:rsidP="00ED1C66">
      <w:pPr>
        <w:spacing w:after="0" w:line="240" w:lineRule="auto"/>
        <w:rPr>
          <w:lang w:val="fr-FR"/>
        </w:rPr>
      </w:pPr>
      <w:r w:rsidRPr="00ED1C66">
        <w:rPr>
          <w:lang w:val="fr-FR"/>
        </w:rPr>
        <w:t>22</w:t>
      </w:r>
      <w:r>
        <w:rPr>
          <w:lang w:val="fr-FR"/>
        </w:rPr>
        <w:t xml:space="preserve"> </w:t>
      </w:r>
      <w:r w:rsidRPr="00ED1C66">
        <w:rPr>
          <w:lang w:val="fr-FR"/>
        </w:rPr>
        <w:t>Alemtuzumab/ use oemezd</w:t>
      </w:r>
      <w:r w:rsidRPr="00ED1C66">
        <w:rPr>
          <w:lang w:val="fr-FR"/>
        </w:rPr>
        <w:tab/>
        <w:t>10765</w:t>
      </w:r>
    </w:p>
    <w:p w:rsidR="00ED1C66" w:rsidRPr="00ED1C66" w:rsidRDefault="00ED1C66" w:rsidP="00ED1C66">
      <w:pPr>
        <w:spacing w:after="0" w:line="240" w:lineRule="auto"/>
        <w:rPr>
          <w:lang w:val="fr-FR"/>
        </w:rPr>
      </w:pPr>
      <w:r w:rsidRPr="00ED1C66">
        <w:rPr>
          <w:lang w:val="fr-FR"/>
        </w:rPr>
        <w:t>23</w:t>
      </w:r>
      <w:r>
        <w:rPr>
          <w:lang w:val="fr-FR"/>
        </w:rPr>
        <w:t xml:space="preserve"> </w:t>
      </w:r>
      <w:r w:rsidRPr="00ED1C66">
        <w:rPr>
          <w:lang w:val="fr-FR"/>
        </w:rPr>
        <w:t>alemtuzumab.tw.</w:t>
      </w:r>
      <w:r w:rsidR="00D8427B">
        <w:rPr>
          <w:lang w:val="fr-FR"/>
        </w:rPr>
        <w:t xml:space="preserve"> </w:t>
      </w:r>
      <w:r w:rsidRPr="00ED1C66">
        <w:rPr>
          <w:lang w:val="fr-FR"/>
        </w:rPr>
        <w:t>5127</w:t>
      </w:r>
    </w:p>
    <w:p w:rsidR="00ED1C66" w:rsidRPr="00ED1C66" w:rsidRDefault="00ED1C66" w:rsidP="00ED1C66">
      <w:pPr>
        <w:spacing w:after="0" w:line="240" w:lineRule="auto"/>
        <w:rPr>
          <w:lang w:val="fr-FR"/>
        </w:rPr>
      </w:pPr>
      <w:r w:rsidRPr="00ED1C66">
        <w:rPr>
          <w:lang w:val="fr-FR"/>
        </w:rPr>
        <w:t>24</w:t>
      </w:r>
      <w:r>
        <w:rPr>
          <w:lang w:val="fr-FR"/>
        </w:rPr>
        <w:t xml:space="preserve"> </w:t>
      </w:r>
      <w:r w:rsidRPr="00ED1C66">
        <w:rPr>
          <w:lang w:val="fr-FR"/>
        </w:rPr>
        <w:t>or/9-23</w:t>
      </w:r>
      <w:r w:rsidR="00D8427B">
        <w:rPr>
          <w:lang w:val="fr-FR"/>
        </w:rPr>
        <w:t xml:space="preserve">   </w:t>
      </w:r>
      <w:r w:rsidRPr="00ED1C66">
        <w:rPr>
          <w:lang w:val="fr-FR"/>
        </w:rPr>
        <w:t>57825</w:t>
      </w:r>
    </w:p>
    <w:p w:rsidR="00ED1C66" w:rsidRPr="00ED1C66" w:rsidRDefault="00ED1C66" w:rsidP="00ED1C66">
      <w:pPr>
        <w:spacing w:after="0" w:line="240" w:lineRule="auto"/>
        <w:rPr>
          <w:lang w:val="fr-FR"/>
        </w:rPr>
      </w:pPr>
      <w:r w:rsidRPr="00ED1C66">
        <w:rPr>
          <w:lang w:val="fr-FR"/>
        </w:rPr>
        <w:t>25</w:t>
      </w:r>
      <w:r>
        <w:rPr>
          <w:lang w:val="fr-FR"/>
        </w:rPr>
        <w:t xml:space="preserve"> </w:t>
      </w:r>
      <w:r w:rsidRPr="00ED1C66">
        <w:rPr>
          <w:lang w:val="fr-FR"/>
        </w:rPr>
        <w:t>8 and 24</w:t>
      </w:r>
      <w:r w:rsidR="00D8427B">
        <w:rPr>
          <w:lang w:val="fr-FR"/>
        </w:rPr>
        <w:t xml:space="preserve"> </w:t>
      </w:r>
      <w:r w:rsidRPr="00ED1C66">
        <w:rPr>
          <w:lang w:val="fr-FR"/>
        </w:rPr>
        <w:t>19920</w:t>
      </w:r>
    </w:p>
    <w:p w:rsidR="00ED1C66" w:rsidRPr="00ED1C66" w:rsidRDefault="00ED1C66" w:rsidP="00ED1C66">
      <w:pPr>
        <w:spacing w:after="0" w:line="240" w:lineRule="auto"/>
        <w:rPr>
          <w:lang w:val="fr-FR"/>
        </w:rPr>
      </w:pPr>
      <w:r w:rsidRPr="00ED1C66">
        <w:rPr>
          <w:lang w:val="fr-FR"/>
        </w:rPr>
        <w:lastRenderedPageBreak/>
        <w:t>26</w:t>
      </w:r>
      <w:r>
        <w:rPr>
          <w:lang w:val="fr-FR"/>
        </w:rPr>
        <w:t xml:space="preserve"> </w:t>
      </w:r>
      <w:r w:rsidRPr="00ED1C66">
        <w:rPr>
          <w:lang w:val="fr-FR"/>
        </w:rPr>
        <w:t>limit 25 to "reviews (maximizes specificity)"</w:t>
      </w:r>
      <w:r w:rsidRPr="00ED1C66">
        <w:rPr>
          <w:lang w:val="fr-FR"/>
        </w:rPr>
        <w:tab/>
        <w:t>229</w:t>
      </w:r>
    </w:p>
    <w:p w:rsidR="00ED1C66" w:rsidRPr="00ED1C66" w:rsidRDefault="00ED1C66" w:rsidP="00ED1C66">
      <w:pPr>
        <w:spacing w:after="0" w:line="240" w:lineRule="auto"/>
        <w:rPr>
          <w:lang w:val="fr-FR"/>
        </w:rPr>
      </w:pPr>
      <w:r w:rsidRPr="00ED1C66">
        <w:rPr>
          <w:lang w:val="fr-FR"/>
        </w:rPr>
        <w:t>27</w:t>
      </w:r>
      <w:r>
        <w:rPr>
          <w:lang w:val="fr-FR"/>
        </w:rPr>
        <w:t xml:space="preserve"> </w:t>
      </w:r>
      <w:r w:rsidRPr="00ED1C66">
        <w:rPr>
          <w:lang w:val="fr-FR"/>
        </w:rPr>
        <w:t>((systematic* or literature) adj2 (review* or overview*)).ti,ab.</w:t>
      </w:r>
      <w:r w:rsidR="00D8427B">
        <w:rPr>
          <w:lang w:val="fr-FR"/>
        </w:rPr>
        <w:t xml:space="preserve"> </w:t>
      </w:r>
      <w:r w:rsidRPr="00ED1C66">
        <w:rPr>
          <w:lang w:val="fr-FR"/>
        </w:rPr>
        <w:t>347467</w:t>
      </w:r>
    </w:p>
    <w:p w:rsidR="00ED1C66" w:rsidRPr="00ED1C66" w:rsidRDefault="00ED1C66" w:rsidP="00ED1C66">
      <w:pPr>
        <w:spacing w:after="0" w:line="240" w:lineRule="auto"/>
        <w:rPr>
          <w:lang w:val="fr-FR"/>
        </w:rPr>
      </w:pPr>
      <w:r w:rsidRPr="00ED1C66">
        <w:rPr>
          <w:lang w:val="fr-FR"/>
        </w:rPr>
        <w:t>28</w:t>
      </w:r>
      <w:r>
        <w:rPr>
          <w:lang w:val="fr-FR"/>
        </w:rPr>
        <w:t xml:space="preserve"> </w:t>
      </w:r>
      <w:r w:rsidRPr="00ED1C66">
        <w:rPr>
          <w:lang w:val="fr-FR"/>
        </w:rPr>
        <w:t>25 and 27</w:t>
      </w:r>
      <w:r w:rsidR="00D8427B">
        <w:rPr>
          <w:lang w:val="fr-FR"/>
        </w:rPr>
        <w:t xml:space="preserve"> </w:t>
      </w:r>
      <w:r w:rsidRPr="00ED1C66">
        <w:rPr>
          <w:lang w:val="fr-FR"/>
        </w:rPr>
        <w:t>236</w:t>
      </w:r>
    </w:p>
    <w:p w:rsidR="00ED1C66" w:rsidRPr="00ED1C66" w:rsidRDefault="00ED1C66" w:rsidP="00ED1C66">
      <w:pPr>
        <w:spacing w:after="0" w:line="240" w:lineRule="auto"/>
        <w:rPr>
          <w:lang w:val="fr-FR"/>
        </w:rPr>
      </w:pPr>
      <w:r w:rsidRPr="00ED1C66">
        <w:rPr>
          <w:lang w:val="fr-FR"/>
        </w:rPr>
        <w:t>29</w:t>
      </w:r>
      <w:r>
        <w:rPr>
          <w:lang w:val="fr-FR"/>
        </w:rPr>
        <w:t xml:space="preserve"> </w:t>
      </w:r>
      <w:r w:rsidRPr="00ED1C66">
        <w:rPr>
          <w:lang w:val="fr-FR"/>
        </w:rPr>
        <w:t>or/26,28</w:t>
      </w:r>
      <w:r w:rsidR="00D8427B">
        <w:rPr>
          <w:lang w:val="fr-FR"/>
        </w:rPr>
        <w:t xml:space="preserve"> </w:t>
      </w:r>
      <w:r w:rsidRPr="00ED1C66">
        <w:rPr>
          <w:lang w:val="fr-FR"/>
        </w:rPr>
        <w:t>352</w:t>
      </w:r>
    </w:p>
    <w:p w:rsidR="00ED1C66" w:rsidRPr="00ED1C66" w:rsidRDefault="00ED1C66" w:rsidP="00ED1C66">
      <w:pPr>
        <w:spacing w:after="0" w:line="240" w:lineRule="auto"/>
        <w:rPr>
          <w:lang w:val="fr-FR"/>
        </w:rPr>
      </w:pPr>
      <w:r w:rsidRPr="00ED1C66">
        <w:rPr>
          <w:lang w:val="fr-FR"/>
        </w:rPr>
        <w:t>30</w:t>
      </w:r>
      <w:r>
        <w:rPr>
          <w:lang w:val="fr-FR"/>
        </w:rPr>
        <w:t xml:space="preserve"> </w:t>
      </w:r>
      <w:r w:rsidRPr="00ED1C66">
        <w:rPr>
          <w:lang w:val="fr-FR"/>
        </w:rPr>
        <w:t>limit 29 to yr="1995 -Current"</w:t>
      </w:r>
      <w:r w:rsidR="00D8427B">
        <w:rPr>
          <w:lang w:val="fr-FR"/>
        </w:rPr>
        <w:t xml:space="preserve"> </w:t>
      </w:r>
      <w:r w:rsidRPr="00ED1C66">
        <w:rPr>
          <w:lang w:val="fr-FR"/>
        </w:rPr>
        <w:t>350</w:t>
      </w:r>
    </w:p>
    <w:p w:rsidR="00ED1C66" w:rsidRPr="00ED1C66" w:rsidRDefault="00ED1C66" w:rsidP="00ED1C66">
      <w:pPr>
        <w:spacing w:after="0" w:line="240" w:lineRule="auto"/>
        <w:rPr>
          <w:lang w:val="fr-FR"/>
        </w:rPr>
      </w:pPr>
      <w:r w:rsidRPr="00ED1C66">
        <w:rPr>
          <w:lang w:val="fr-FR"/>
        </w:rPr>
        <w:t>31</w:t>
      </w:r>
      <w:r>
        <w:rPr>
          <w:lang w:val="fr-FR"/>
        </w:rPr>
        <w:t xml:space="preserve"> </w:t>
      </w:r>
      <w:r w:rsidRPr="00ED1C66">
        <w:rPr>
          <w:lang w:val="fr-FR"/>
        </w:rPr>
        <w:t>exp animals/</w:t>
      </w:r>
      <w:r w:rsidRPr="00ED1C66">
        <w:rPr>
          <w:lang w:val="fr-FR"/>
        </w:rPr>
        <w:tab/>
        <w:t>37620453</w:t>
      </w:r>
    </w:p>
    <w:p w:rsidR="00ED1C66" w:rsidRPr="00ED1C66" w:rsidRDefault="00ED1C66" w:rsidP="00ED1C66">
      <w:pPr>
        <w:spacing w:after="0" w:line="240" w:lineRule="auto"/>
        <w:rPr>
          <w:lang w:val="fr-FR"/>
        </w:rPr>
      </w:pPr>
      <w:r w:rsidRPr="00ED1C66">
        <w:rPr>
          <w:lang w:val="fr-FR"/>
        </w:rPr>
        <w:t>32</w:t>
      </w:r>
      <w:r>
        <w:rPr>
          <w:lang w:val="fr-FR"/>
        </w:rPr>
        <w:t xml:space="preserve"> </w:t>
      </w:r>
      <w:r w:rsidRPr="00ED1C66">
        <w:rPr>
          <w:lang w:val="fr-FR"/>
        </w:rPr>
        <w:t>humans/</w:t>
      </w:r>
      <w:r w:rsidRPr="00ED1C66">
        <w:rPr>
          <w:lang w:val="fr-FR"/>
        </w:rPr>
        <w:tab/>
        <w:t>29132069</w:t>
      </w:r>
    </w:p>
    <w:p w:rsidR="00ED1C66" w:rsidRPr="00ED1C66" w:rsidRDefault="00ED1C66" w:rsidP="00ED1C66">
      <w:pPr>
        <w:spacing w:after="0" w:line="240" w:lineRule="auto"/>
        <w:rPr>
          <w:lang w:val="fr-FR"/>
        </w:rPr>
      </w:pPr>
      <w:r w:rsidRPr="00ED1C66">
        <w:rPr>
          <w:lang w:val="fr-FR"/>
        </w:rPr>
        <w:t>33</w:t>
      </w:r>
      <w:r>
        <w:rPr>
          <w:lang w:val="fr-FR"/>
        </w:rPr>
        <w:t xml:space="preserve"> </w:t>
      </w:r>
      <w:r w:rsidRPr="00ED1C66">
        <w:rPr>
          <w:lang w:val="fr-FR"/>
        </w:rPr>
        <w:t>31 not (31 and 32)</w:t>
      </w:r>
      <w:r w:rsidRPr="00ED1C66">
        <w:rPr>
          <w:lang w:val="fr-FR"/>
        </w:rPr>
        <w:tab/>
        <w:t>8488384</w:t>
      </w:r>
    </w:p>
    <w:p w:rsidR="00ED1C66" w:rsidRPr="00ED1C66" w:rsidRDefault="00ED1C66" w:rsidP="00ED1C66">
      <w:pPr>
        <w:spacing w:after="0" w:line="240" w:lineRule="auto"/>
        <w:rPr>
          <w:lang w:val="fr-FR"/>
        </w:rPr>
      </w:pPr>
      <w:r w:rsidRPr="00ED1C66">
        <w:rPr>
          <w:lang w:val="fr-FR"/>
        </w:rPr>
        <w:t>34</w:t>
      </w:r>
      <w:r>
        <w:rPr>
          <w:lang w:val="fr-FR"/>
        </w:rPr>
        <w:t xml:space="preserve"> </w:t>
      </w:r>
      <w:r w:rsidRPr="00ED1C66">
        <w:rPr>
          <w:lang w:val="fr-FR"/>
        </w:rPr>
        <w:t xml:space="preserve">25 not 33 </w:t>
      </w:r>
      <w:r w:rsidRPr="00ED1C66">
        <w:rPr>
          <w:lang w:val="fr-FR"/>
        </w:rPr>
        <w:tab/>
        <w:t>19194</w:t>
      </w:r>
    </w:p>
    <w:p w:rsidR="00ED1C66" w:rsidRPr="00ED1C66" w:rsidRDefault="00ED1C66" w:rsidP="00ED1C66">
      <w:pPr>
        <w:spacing w:after="0" w:line="240" w:lineRule="auto"/>
        <w:rPr>
          <w:lang w:val="fr-FR"/>
        </w:rPr>
      </w:pPr>
      <w:r w:rsidRPr="00ED1C66">
        <w:rPr>
          <w:lang w:val="fr-FR"/>
        </w:rPr>
        <w:t>35</w:t>
      </w:r>
      <w:r>
        <w:rPr>
          <w:lang w:val="fr-FR"/>
        </w:rPr>
        <w:t xml:space="preserve"> </w:t>
      </w:r>
      <w:r w:rsidRPr="00ED1C66">
        <w:rPr>
          <w:lang w:val="fr-FR"/>
        </w:rPr>
        <w:t>limit 34 to "therapy (maximizes specificity)"1986</w:t>
      </w:r>
    </w:p>
    <w:p w:rsidR="00ED1C66" w:rsidRPr="00ED1C66" w:rsidRDefault="00ED1C66" w:rsidP="00ED1C66">
      <w:pPr>
        <w:spacing w:after="0" w:line="240" w:lineRule="auto"/>
        <w:rPr>
          <w:lang w:val="fr-FR"/>
        </w:rPr>
      </w:pPr>
      <w:r w:rsidRPr="00ED1C66">
        <w:rPr>
          <w:lang w:val="fr-FR"/>
        </w:rPr>
        <w:t>36</w:t>
      </w:r>
      <w:r>
        <w:rPr>
          <w:lang w:val="fr-FR"/>
        </w:rPr>
        <w:t xml:space="preserve"> </w:t>
      </w:r>
      <w:r w:rsidRPr="00ED1C66">
        <w:rPr>
          <w:lang w:val="fr-FR"/>
        </w:rPr>
        <w:t xml:space="preserve">randomized controlled trial.pt. use pmoz </w:t>
      </w:r>
      <w:r w:rsidR="00D8427B">
        <w:rPr>
          <w:lang w:val="fr-FR"/>
        </w:rPr>
        <w:t xml:space="preserve"> </w:t>
      </w:r>
      <w:r w:rsidRPr="00ED1C66">
        <w:rPr>
          <w:lang w:val="fr-FR"/>
        </w:rPr>
        <w:t>385465</w:t>
      </w:r>
    </w:p>
    <w:p w:rsidR="00ED1C66" w:rsidRPr="00ED1C66" w:rsidRDefault="00ED1C66" w:rsidP="00ED1C66">
      <w:pPr>
        <w:spacing w:after="0" w:line="240" w:lineRule="auto"/>
        <w:rPr>
          <w:lang w:val="fr-FR"/>
        </w:rPr>
      </w:pPr>
      <w:r w:rsidRPr="00ED1C66">
        <w:rPr>
          <w:lang w:val="fr-FR"/>
        </w:rPr>
        <w:t>37</w:t>
      </w:r>
      <w:r>
        <w:rPr>
          <w:lang w:val="fr-FR"/>
        </w:rPr>
        <w:t xml:space="preserve"> </w:t>
      </w:r>
      <w:r w:rsidRPr="00ED1C66">
        <w:rPr>
          <w:lang w:val="fr-FR"/>
        </w:rPr>
        <w:t>controlled clinical trial.pt. use pmoz</w:t>
      </w:r>
      <w:r w:rsidRPr="00ED1C66">
        <w:rPr>
          <w:lang w:val="fr-FR"/>
        </w:rPr>
        <w:tab/>
        <w:t>88645</w:t>
      </w:r>
    </w:p>
    <w:p w:rsidR="00ED1C66" w:rsidRPr="00ED1C66" w:rsidRDefault="00ED1C66" w:rsidP="00ED1C66">
      <w:pPr>
        <w:spacing w:after="0" w:line="240" w:lineRule="auto"/>
        <w:rPr>
          <w:lang w:val="fr-FR"/>
        </w:rPr>
      </w:pPr>
      <w:r w:rsidRPr="00ED1C66">
        <w:rPr>
          <w:lang w:val="fr-FR"/>
        </w:rPr>
        <w:t>38</w:t>
      </w:r>
      <w:r>
        <w:rPr>
          <w:lang w:val="fr-FR"/>
        </w:rPr>
        <w:t xml:space="preserve"> </w:t>
      </w:r>
      <w:r w:rsidRPr="00ED1C66">
        <w:rPr>
          <w:lang w:val="fr-FR"/>
        </w:rPr>
        <w:t>randomized.ti,ab. use pmoz</w:t>
      </w:r>
      <w:r w:rsidRPr="00ED1C66">
        <w:rPr>
          <w:lang w:val="fr-FR"/>
        </w:rPr>
        <w:tab/>
        <w:t>331972</w:t>
      </w:r>
    </w:p>
    <w:p w:rsidR="00ED1C66" w:rsidRPr="00ED1C66" w:rsidRDefault="00ED1C66" w:rsidP="00ED1C66">
      <w:pPr>
        <w:spacing w:after="0" w:line="240" w:lineRule="auto"/>
        <w:rPr>
          <w:lang w:val="fr-FR"/>
        </w:rPr>
      </w:pPr>
      <w:r w:rsidRPr="00ED1C66">
        <w:rPr>
          <w:lang w:val="fr-FR"/>
        </w:rPr>
        <w:t>39</w:t>
      </w:r>
      <w:r>
        <w:rPr>
          <w:lang w:val="fr-FR"/>
        </w:rPr>
        <w:t xml:space="preserve"> </w:t>
      </w:r>
      <w:r w:rsidRPr="00ED1C66">
        <w:rPr>
          <w:lang w:val="fr-FR"/>
        </w:rPr>
        <w:t>placebo.ab. use pmoz</w:t>
      </w:r>
      <w:r w:rsidRPr="00ED1C66">
        <w:rPr>
          <w:lang w:val="fr-FR"/>
        </w:rPr>
        <w:tab/>
        <w:t>158299</w:t>
      </w:r>
    </w:p>
    <w:p w:rsidR="00ED1C66" w:rsidRPr="00ED1C66" w:rsidRDefault="00ED1C66" w:rsidP="00ED1C66">
      <w:pPr>
        <w:spacing w:after="0" w:line="240" w:lineRule="auto"/>
        <w:rPr>
          <w:lang w:val="fr-FR"/>
        </w:rPr>
      </w:pPr>
      <w:r w:rsidRPr="00ED1C66">
        <w:rPr>
          <w:lang w:val="fr-FR"/>
        </w:rPr>
        <w:t>40</w:t>
      </w:r>
      <w:r>
        <w:rPr>
          <w:lang w:val="fr-FR"/>
        </w:rPr>
        <w:t xml:space="preserve"> </w:t>
      </w:r>
      <w:r w:rsidRPr="00ED1C66">
        <w:rPr>
          <w:lang w:val="fr-FR"/>
        </w:rPr>
        <w:t>clinical trials as topic.sh. use pmoz</w:t>
      </w:r>
      <w:r w:rsidRPr="00ED1C66">
        <w:rPr>
          <w:lang w:val="fr-FR"/>
        </w:rPr>
        <w:tab/>
        <w:t>170938</w:t>
      </w:r>
    </w:p>
    <w:p w:rsidR="00ED1C66" w:rsidRPr="00ED1C66" w:rsidRDefault="00ED1C66" w:rsidP="00ED1C66">
      <w:pPr>
        <w:spacing w:after="0" w:line="240" w:lineRule="auto"/>
        <w:rPr>
          <w:lang w:val="fr-FR"/>
        </w:rPr>
      </w:pPr>
      <w:r w:rsidRPr="00ED1C66">
        <w:rPr>
          <w:lang w:val="fr-FR"/>
        </w:rPr>
        <w:t>41</w:t>
      </w:r>
      <w:r>
        <w:rPr>
          <w:lang w:val="fr-FR"/>
        </w:rPr>
        <w:t xml:space="preserve"> </w:t>
      </w:r>
      <w:r w:rsidRPr="00ED1C66">
        <w:rPr>
          <w:lang w:val="fr-FR"/>
        </w:rPr>
        <w:t>randomly.ab. use pmoz</w:t>
      </w:r>
      <w:r w:rsidRPr="00ED1C66">
        <w:rPr>
          <w:lang w:val="fr-FR"/>
        </w:rPr>
        <w:tab/>
        <w:t>224453</w:t>
      </w:r>
    </w:p>
    <w:p w:rsidR="00ED1C66" w:rsidRPr="00ED1C66" w:rsidRDefault="00ED1C66" w:rsidP="00ED1C66">
      <w:pPr>
        <w:spacing w:after="0" w:line="240" w:lineRule="auto"/>
        <w:rPr>
          <w:lang w:val="fr-FR"/>
        </w:rPr>
      </w:pPr>
      <w:r w:rsidRPr="00ED1C66">
        <w:rPr>
          <w:lang w:val="fr-FR"/>
        </w:rPr>
        <w:t>42</w:t>
      </w:r>
      <w:r>
        <w:rPr>
          <w:lang w:val="fr-FR"/>
        </w:rPr>
        <w:t xml:space="preserve"> </w:t>
      </w:r>
      <w:r w:rsidRPr="00ED1C66">
        <w:rPr>
          <w:lang w:val="fr-FR"/>
        </w:rPr>
        <w:t>trial.ti. use pmoz</w:t>
      </w:r>
      <w:r w:rsidRPr="00ED1C66">
        <w:rPr>
          <w:lang w:val="fr-FR"/>
        </w:rPr>
        <w:tab/>
        <w:t>133387</w:t>
      </w:r>
    </w:p>
    <w:p w:rsidR="00ED1C66" w:rsidRPr="00ED1C66" w:rsidRDefault="00ED1C66" w:rsidP="00ED1C66">
      <w:pPr>
        <w:spacing w:after="0" w:line="240" w:lineRule="auto"/>
        <w:rPr>
          <w:lang w:val="fr-FR"/>
        </w:rPr>
      </w:pPr>
      <w:r w:rsidRPr="00ED1C66">
        <w:rPr>
          <w:lang w:val="fr-FR"/>
        </w:rPr>
        <w:t>43</w:t>
      </w:r>
      <w:r>
        <w:rPr>
          <w:lang w:val="fr-FR"/>
        </w:rPr>
        <w:t xml:space="preserve"> </w:t>
      </w:r>
      <w:r w:rsidRPr="00ED1C66">
        <w:rPr>
          <w:lang w:val="fr-FR"/>
        </w:rPr>
        <w:t>or/36-42</w:t>
      </w:r>
      <w:r w:rsidRPr="00ED1C66">
        <w:rPr>
          <w:lang w:val="fr-FR"/>
        </w:rPr>
        <w:tab/>
        <w:t>940316</w:t>
      </w:r>
    </w:p>
    <w:p w:rsidR="00ED1C66" w:rsidRPr="00ED1C66" w:rsidRDefault="00ED1C66" w:rsidP="00ED1C66">
      <w:pPr>
        <w:spacing w:after="0" w:line="240" w:lineRule="auto"/>
        <w:rPr>
          <w:lang w:val="fr-FR"/>
        </w:rPr>
      </w:pPr>
      <w:r w:rsidRPr="00ED1C66">
        <w:rPr>
          <w:lang w:val="fr-FR"/>
        </w:rPr>
        <w:t>44</w:t>
      </w:r>
      <w:r>
        <w:rPr>
          <w:lang w:val="fr-FR"/>
        </w:rPr>
        <w:t xml:space="preserve"> </w:t>
      </w:r>
      <w:r w:rsidRPr="00ED1C66">
        <w:rPr>
          <w:lang w:val="fr-FR"/>
        </w:rPr>
        <w:t>34 and 43</w:t>
      </w:r>
      <w:r w:rsidRPr="00ED1C66">
        <w:rPr>
          <w:lang w:val="fr-FR"/>
        </w:rPr>
        <w:tab/>
        <w:t>1211</w:t>
      </w:r>
    </w:p>
    <w:p w:rsidR="00ED1C66" w:rsidRPr="00ED1C66" w:rsidRDefault="00ED1C66" w:rsidP="00ED1C66">
      <w:pPr>
        <w:spacing w:after="0" w:line="240" w:lineRule="auto"/>
        <w:rPr>
          <w:lang w:val="fr-FR"/>
        </w:rPr>
      </w:pPr>
      <w:r w:rsidRPr="00ED1C66">
        <w:rPr>
          <w:lang w:val="fr-FR"/>
        </w:rPr>
        <w:t>45</w:t>
      </w:r>
      <w:r>
        <w:rPr>
          <w:lang w:val="fr-FR"/>
        </w:rPr>
        <w:t xml:space="preserve"> </w:t>
      </w:r>
      <w:r w:rsidRPr="00ED1C66">
        <w:rPr>
          <w:lang w:val="fr-FR"/>
        </w:rPr>
        <w:t>randomized controlled trial/ use oemezd</w:t>
      </w:r>
      <w:r w:rsidR="00D8427B">
        <w:rPr>
          <w:lang w:val="fr-FR"/>
        </w:rPr>
        <w:t xml:space="preserve"> </w:t>
      </w:r>
      <w:r w:rsidRPr="00ED1C66">
        <w:rPr>
          <w:lang w:val="fr-FR"/>
        </w:rPr>
        <w:t>363421</w:t>
      </w:r>
    </w:p>
    <w:p w:rsidR="00ED1C66" w:rsidRPr="00ED1C66" w:rsidRDefault="00ED1C66" w:rsidP="00ED1C66">
      <w:pPr>
        <w:spacing w:after="0" w:line="240" w:lineRule="auto"/>
        <w:rPr>
          <w:lang w:val="fr-FR"/>
        </w:rPr>
      </w:pPr>
      <w:r w:rsidRPr="00ED1C66">
        <w:rPr>
          <w:lang w:val="fr-FR"/>
        </w:rPr>
        <w:t>46</w:t>
      </w:r>
      <w:r>
        <w:rPr>
          <w:lang w:val="fr-FR"/>
        </w:rPr>
        <w:t xml:space="preserve"> </w:t>
      </w:r>
      <w:r w:rsidRPr="00ED1C66">
        <w:rPr>
          <w:lang w:val="fr-FR"/>
        </w:rPr>
        <w:t>crossover-procedure/ use oemezd</w:t>
      </w:r>
      <w:r w:rsidRPr="00ED1C66">
        <w:rPr>
          <w:lang w:val="fr-FR"/>
        </w:rPr>
        <w:tab/>
        <w:t>41657</w:t>
      </w:r>
    </w:p>
    <w:p w:rsidR="00ED1C66" w:rsidRPr="00ED1C66" w:rsidRDefault="00ED1C66" w:rsidP="00ED1C66">
      <w:pPr>
        <w:spacing w:after="0" w:line="240" w:lineRule="auto"/>
        <w:rPr>
          <w:lang w:val="fr-FR"/>
        </w:rPr>
      </w:pPr>
      <w:r w:rsidRPr="00ED1C66">
        <w:rPr>
          <w:lang w:val="fr-FR"/>
        </w:rPr>
        <w:t>47</w:t>
      </w:r>
      <w:r>
        <w:rPr>
          <w:lang w:val="fr-FR"/>
        </w:rPr>
        <w:t xml:space="preserve"> </w:t>
      </w:r>
      <w:r w:rsidRPr="00ED1C66">
        <w:rPr>
          <w:lang w:val="fr-FR"/>
        </w:rPr>
        <w:t>double-blind procedure/ use oemezd</w:t>
      </w:r>
      <w:r w:rsidRPr="00ED1C66">
        <w:rPr>
          <w:lang w:val="fr-FR"/>
        </w:rPr>
        <w:tab/>
        <w:t>120547</w:t>
      </w:r>
    </w:p>
    <w:p w:rsidR="00ED1C66" w:rsidRPr="00ED1C66" w:rsidRDefault="00ED1C66" w:rsidP="00ED1C66">
      <w:pPr>
        <w:spacing w:after="0" w:line="240" w:lineRule="auto"/>
        <w:rPr>
          <w:lang w:val="fr-FR"/>
        </w:rPr>
      </w:pPr>
      <w:r w:rsidRPr="00ED1C66">
        <w:rPr>
          <w:lang w:val="fr-FR"/>
        </w:rPr>
        <w:t>48</w:t>
      </w:r>
      <w:r>
        <w:rPr>
          <w:lang w:val="fr-FR"/>
        </w:rPr>
        <w:t xml:space="preserve"> </w:t>
      </w:r>
      <w:r w:rsidRPr="00ED1C66">
        <w:rPr>
          <w:lang w:val="fr-FR"/>
        </w:rPr>
        <w:t>single-blind procedure/ use oemezd</w:t>
      </w:r>
      <w:r w:rsidRPr="00ED1C66">
        <w:rPr>
          <w:lang w:val="fr-FR"/>
        </w:rPr>
        <w:tab/>
        <w:t>19566</w:t>
      </w:r>
    </w:p>
    <w:p w:rsidR="00ED1C66" w:rsidRPr="00ED1C66" w:rsidRDefault="00ED1C66" w:rsidP="00ED1C66">
      <w:pPr>
        <w:spacing w:after="0" w:line="240" w:lineRule="auto"/>
        <w:rPr>
          <w:lang w:val="fr-FR"/>
        </w:rPr>
      </w:pPr>
      <w:r w:rsidRPr="00ED1C66">
        <w:rPr>
          <w:lang w:val="fr-FR"/>
        </w:rPr>
        <w:t>49</w:t>
      </w:r>
      <w:r>
        <w:rPr>
          <w:lang w:val="fr-FR"/>
        </w:rPr>
        <w:t xml:space="preserve"> </w:t>
      </w:r>
      <w:r w:rsidRPr="00ED1C66">
        <w:rPr>
          <w:lang w:val="fr-FR"/>
        </w:rPr>
        <w:t>randomized.ab. use oemezd</w:t>
      </w:r>
      <w:r w:rsidRPr="00ED1C66">
        <w:rPr>
          <w:lang w:val="fr-FR"/>
        </w:rPr>
        <w:tab/>
        <w:t>417485</w:t>
      </w:r>
    </w:p>
    <w:p w:rsidR="00ED1C66" w:rsidRPr="00ED1C66" w:rsidRDefault="00ED1C66" w:rsidP="00ED1C66">
      <w:pPr>
        <w:spacing w:after="0" w:line="240" w:lineRule="auto"/>
        <w:rPr>
          <w:lang w:val="fr-FR"/>
        </w:rPr>
      </w:pPr>
      <w:r w:rsidRPr="00ED1C66">
        <w:rPr>
          <w:lang w:val="fr-FR"/>
        </w:rPr>
        <w:t>50</w:t>
      </w:r>
      <w:r>
        <w:rPr>
          <w:lang w:val="fr-FR"/>
        </w:rPr>
        <w:t xml:space="preserve"> </w:t>
      </w:r>
      <w:r w:rsidRPr="00ED1C66">
        <w:rPr>
          <w:lang w:val="fr-FR"/>
        </w:rPr>
        <w:t>placebo.ab. use oemezd</w:t>
      </w:r>
      <w:r w:rsidRPr="00ED1C66">
        <w:rPr>
          <w:lang w:val="fr-FR"/>
        </w:rPr>
        <w:tab/>
        <w:t>206226</w:t>
      </w:r>
    </w:p>
    <w:p w:rsidR="00ED1C66" w:rsidRPr="00ED1C66" w:rsidRDefault="00ED1C66" w:rsidP="00ED1C66">
      <w:pPr>
        <w:spacing w:after="0" w:line="240" w:lineRule="auto"/>
        <w:rPr>
          <w:lang w:val="fr-FR"/>
        </w:rPr>
      </w:pPr>
      <w:r w:rsidRPr="00ED1C66">
        <w:rPr>
          <w:lang w:val="fr-FR"/>
        </w:rPr>
        <w:t>51</w:t>
      </w:r>
      <w:r>
        <w:rPr>
          <w:lang w:val="fr-FR"/>
        </w:rPr>
        <w:t xml:space="preserve"> </w:t>
      </w:r>
      <w:r w:rsidRPr="00ED1C66">
        <w:rPr>
          <w:lang w:val="fr-FR"/>
        </w:rPr>
        <w:t>randomly.ab. use oemezd</w:t>
      </w:r>
      <w:r w:rsidRPr="00ED1C66">
        <w:rPr>
          <w:lang w:val="fr-FR"/>
        </w:rPr>
        <w:tab/>
        <w:t>282429</w:t>
      </w:r>
    </w:p>
    <w:p w:rsidR="00ED1C66" w:rsidRPr="00ED1C66" w:rsidRDefault="00ED1C66" w:rsidP="00ED1C66">
      <w:pPr>
        <w:spacing w:after="0" w:line="240" w:lineRule="auto"/>
        <w:rPr>
          <w:lang w:val="fr-FR"/>
        </w:rPr>
      </w:pPr>
      <w:r w:rsidRPr="00ED1C66">
        <w:rPr>
          <w:lang w:val="fr-FR"/>
        </w:rPr>
        <w:t>52</w:t>
      </w:r>
      <w:r>
        <w:rPr>
          <w:lang w:val="fr-FR"/>
        </w:rPr>
        <w:t xml:space="preserve"> </w:t>
      </w:r>
      <w:r w:rsidRPr="00ED1C66">
        <w:rPr>
          <w:lang w:val="fr-FR"/>
        </w:rPr>
        <w:t>trial.ti. use oemezd</w:t>
      </w:r>
      <w:r w:rsidRPr="00ED1C66">
        <w:rPr>
          <w:lang w:val="fr-FR"/>
        </w:rPr>
        <w:tab/>
        <w:t>176165</w:t>
      </w:r>
    </w:p>
    <w:p w:rsidR="00ED1C66" w:rsidRPr="00ED1C66" w:rsidRDefault="00ED1C66" w:rsidP="00ED1C66">
      <w:pPr>
        <w:spacing w:after="0" w:line="240" w:lineRule="auto"/>
        <w:rPr>
          <w:lang w:val="fr-FR"/>
        </w:rPr>
      </w:pPr>
      <w:r w:rsidRPr="00ED1C66">
        <w:rPr>
          <w:lang w:val="fr-FR"/>
        </w:rPr>
        <w:t>53</w:t>
      </w:r>
      <w:r>
        <w:rPr>
          <w:lang w:val="fr-FR"/>
        </w:rPr>
        <w:t xml:space="preserve"> </w:t>
      </w:r>
      <w:r w:rsidRPr="00ED1C66">
        <w:rPr>
          <w:lang w:val="fr-FR"/>
        </w:rPr>
        <w:t>or/45-52</w:t>
      </w:r>
      <w:r>
        <w:rPr>
          <w:lang w:val="fr-FR"/>
        </w:rPr>
        <w:t xml:space="preserve"> </w:t>
      </w:r>
      <w:r w:rsidRPr="00ED1C66">
        <w:rPr>
          <w:lang w:val="fr-FR"/>
        </w:rPr>
        <w:t>974635</w:t>
      </w:r>
    </w:p>
    <w:p w:rsidR="00ED1C66" w:rsidRPr="00ED1C66" w:rsidRDefault="00ED1C66" w:rsidP="00ED1C66">
      <w:pPr>
        <w:spacing w:after="0" w:line="240" w:lineRule="auto"/>
        <w:rPr>
          <w:lang w:val="fr-FR"/>
        </w:rPr>
      </w:pPr>
      <w:r w:rsidRPr="00ED1C66">
        <w:rPr>
          <w:lang w:val="fr-FR"/>
        </w:rPr>
        <w:t>54</w:t>
      </w:r>
      <w:r>
        <w:rPr>
          <w:lang w:val="fr-FR"/>
        </w:rPr>
        <w:t xml:space="preserve"> </w:t>
      </w:r>
      <w:r w:rsidRPr="00ED1C66">
        <w:rPr>
          <w:lang w:val="fr-FR"/>
        </w:rPr>
        <w:t>34 and 53</w:t>
      </w:r>
      <w:r>
        <w:rPr>
          <w:lang w:val="fr-FR"/>
        </w:rPr>
        <w:t xml:space="preserve"> </w:t>
      </w:r>
      <w:r w:rsidR="00D8427B">
        <w:rPr>
          <w:lang w:val="fr-FR"/>
        </w:rPr>
        <w:t xml:space="preserve"> </w:t>
      </w:r>
      <w:r w:rsidRPr="00ED1C66">
        <w:rPr>
          <w:lang w:val="fr-FR"/>
        </w:rPr>
        <w:t>2056</w:t>
      </w:r>
    </w:p>
    <w:p w:rsidR="00ED1C66" w:rsidRPr="00ED1C66" w:rsidRDefault="00ED1C66" w:rsidP="00ED1C66">
      <w:pPr>
        <w:spacing w:after="0" w:line="240" w:lineRule="auto"/>
        <w:rPr>
          <w:lang w:val="fr-FR"/>
        </w:rPr>
      </w:pPr>
      <w:r w:rsidRPr="00ED1C66">
        <w:rPr>
          <w:lang w:val="fr-FR"/>
        </w:rPr>
        <w:t>55</w:t>
      </w:r>
      <w:r>
        <w:rPr>
          <w:lang w:val="fr-FR"/>
        </w:rPr>
        <w:t xml:space="preserve"> </w:t>
      </w:r>
      <w:r w:rsidRPr="00ED1C66">
        <w:rPr>
          <w:lang w:val="fr-FR"/>
        </w:rPr>
        <w:t>35 or 44 or 543363</w:t>
      </w:r>
    </w:p>
    <w:p w:rsidR="00D8427B" w:rsidRDefault="00ED1C66" w:rsidP="00D8427B">
      <w:pPr>
        <w:spacing w:after="0" w:line="240" w:lineRule="auto"/>
        <w:rPr>
          <w:lang w:val="fr-FR"/>
        </w:rPr>
      </w:pPr>
      <w:r w:rsidRPr="00ED1C66">
        <w:rPr>
          <w:lang w:val="fr-FR"/>
        </w:rPr>
        <w:t>56</w:t>
      </w:r>
      <w:r>
        <w:rPr>
          <w:lang w:val="fr-FR"/>
        </w:rPr>
        <w:t xml:space="preserve"> </w:t>
      </w:r>
      <w:r w:rsidRPr="00ED1C66">
        <w:rPr>
          <w:lang w:val="fr-FR"/>
        </w:rPr>
        <w:t>limit 55 to yr="2013 -Current"</w:t>
      </w:r>
      <w:r w:rsidR="00D8427B">
        <w:rPr>
          <w:lang w:val="fr-FR"/>
        </w:rPr>
        <w:t xml:space="preserve">   </w:t>
      </w:r>
      <w:r w:rsidRPr="00ED1C66">
        <w:rPr>
          <w:lang w:val="fr-FR"/>
        </w:rPr>
        <w:t>816</w:t>
      </w:r>
    </w:p>
    <w:p w:rsidR="00D8427B" w:rsidRDefault="00ED1C66" w:rsidP="00D8427B">
      <w:pPr>
        <w:spacing w:after="0" w:line="240" w:lineRule="auto"/>
        <w:rPr>
          <w:b/>
        </w:rPr>
      </w:pPr>
      <w:r w:rsidRPr="00F7606D">
        <w:rPr>
          <w:b/>
        </w:rPr>
        <w:t>Database: Cochrane Library</w:t>
      </w:r>
    </w:p>
    <w:p w:rsidR="00D8427B" w:rsidRDefault="00D8427B" w:rsidP="00D8427B">
      <w:pPr>
        <w:spacing w:after="0" w:line="240" w:lineRule="auto"/>
      </w:pPr>
      <w:r>
        <w:t>ID Search</w:t>
      </w:r>
      <w:r>
        <w:tab/>
      </w:r>
      <w:r>
        <w:tab/>
      </w:r>
      <w:r>
        <w:tab/>
      </w:r>
      <w:r>
        <w:tab/>
      </w:r>
      <w:r>
        <w:tab/>
      </w:r>
      <w:r>
        <w:tab/>
      </w:r>
      <w:r>
        <w:tab/>
      </w:r>
      <w:r>
        <w:tab/>
      </w:r>
      <w:r>
        <w:tab/>
      </w:r>
    </w:p>
    <w:p w:rsidR="00D8427B" w:rsidRDefault="00D8427B" w:rsidP="00D8427B">
      <w:pPr>
        <w:spacing w:after="0" w:line="240" w:lineRule="auto"/>
      </w:pPr>
      <w:r>
        <w:t>#1 MeSH descriptor: [Multiple Sclerosis] this term only</w:t>
      </w:r>
      <w:r>
        <w:tab/>
        <w:t>1378</w:t>
      </w:r>
    </w:p>
    <w:p w:rsidR="00D8427B" w:rsidRDefault="00D8427B" w:rsidP="00D8427B">
      <w:pPr>
        <w:spacing w:after="0" w:line="240" w:lineRule="auto"/>
      </w:pPr>
      <w:r>
        <w:t>#2 MeSH descriptor: [Neuromyelitis Optica] this term only</w:t>
      </w:r>
      <w:r w:rsidR="00F83DB0">
        <w:t xml:space="preserve">    </w:t>
      </w:r>
      <w:r>
        <w:t>5</w:t>
      </w:r>
    </w:p>
    <w:p w:rsidR="00D8427B" w:rsidRDefault="00D8427B" w:rsidP="00D8427B">
      <w:pPr>
        <w:spacing w:after="0" w:line="240" w:lineRule="auto"/>
      </w:pPr>
      <w:r>
        <w:t xml:space="preserve">#3 MeSH descriptor: [Multiple Sclerosis, Chronic Progressive] this term only </w:t>
      </w:r>
      <w:r w:rsidR="00F83DB0">
        <w:t xml:space="preserve"> </w:t>
      </w:r>
      <w:r>
        <w:t>152</w:t>
      </w:r>
    </w:p>
    <w:p w:rsidR="00D8427B" w:rsidRDefault="00D8427B" w:rsidP="00D8427B">
      <w:pPr>
        <w:spacing w:after="0" w:line="240" w:lineRule="auto"/>
      </w:pPr>
      <w:r>
        <w:t>#4 MeSH descriptor: [Multiple Sclerosis, Relapsing-Remitting] this term only</w:t>
      </w:r>
      <w:r w:rsidR="00F83DB0">
        <w:t xml:space="preserve"> </w:t>
      </w:r>
      <w:r>
        <w:t xml:space="preserve"> 426</w:t>
      </w:r>
    </w:p>
    <w:p w:rsidR="00D8427B" w:rsidRDefault="00D8427B" w:rsidP="00D8427B">
      <w:pPr>
        <w:spacing w:after="0" w:line="240" w:lineRule="auto"/>
      </w:pPr>
      <w:r>
        <w:t xml:space="preserve">#5 ((multiple or disseminated) next sclerosis) or (sclerosis next multiplex) or </w:t>
      </w:r>
    </w:p>
    <w:p w:rsidR="00D8427B" w:rsidRDefault="00D8427B" w:rsidP="00D8427B">
      <w:pPr>
        <w:spacing w:after="0" w:line="240" w:lineRule="auto"/>
      </w:pPr>
      <w:r>
        <w:t xml:space="preserve">"neuromyelitis optica" or "MS" or SPMS or PPMS or RRMS:ti,ab,kw </w:t>
      </w:r>
      <w:r w:rsidR="00F83DB0">
        <w:t xml:space="preserve"> </w:t>
      </w:r>
      <w:r>
        <w:t>21763</w:t>
      </w:r>
    </w:p>
    <w:p w:rsidR="00D8427B" w:rsidRDefault="00D8427B" w:rsidP="00D8427B">
      <w:pPr>
        <w:spacing w:after="0" w:line="240" w:lineRule="auto"/>
      </w:pPr>
      <w:r>
        <w:t xml:space="preserve">#6 #1 or #2 or #3 or #4 or #5 </w:t>
      </w:r>
      <w:r>
        <w:tab/>
      </w:r>
      <w:r>
        <w:tab/>
      </w:r>
      <w:r>
        <w:tab/>
      </w:r>
      <w:r>
        <w:tab/>
      </w:r>
      <w:r w:rsidR="00F83DB0">
        <w:t xml:space="preserve">                    </w:t>
      </w:r>
      <w:r>
        <w:t>21761</w:t>
      </w:r>
    </w:p>
    <w:p w:rsidR="00D8427B" w:rsidRDefault="00D8427B" w:rsidP="00D8427B">
      <w:pPr>
        <w:spacing w:after="0" w:line="240" w:lineRule="auto"/>
      </w:pPr>
      <w:r>
        <w:t xml:space="preserve">#7  (dimethyl fumarate* or dimethylfumarate*):ti,ab,kw </w:t>
      </w:r>
      <w:r>
        <w:tab/>
      </w:r>
      <w:r w:rsidR="00F83DB0">
        <w:t xml:space="preserve">            </w:t>
      </w:r>
      <w:r w:rsidR="004A331F">
        <w:t xml:space="preserve"> </w:t>
      </w:r>
      <w:r w:rsidR="00F83DB0">
        <w:t xml:space="preserve"> </w:t>
      </w:r>
      <w:r>
        <w:t>63</w:t>
      </w:r>
    </w:p>
    <w:p w:rsidR="00D8427B" w:rsidRDefault="00D8427B" w:rsidP="00D8427B">
      <w:pPr>
        <w:spacing w:after="0" w:line="240" w:lineRule="auto"/>
      </w:pPr>
      <w:r>
        <w:t xml:space="preserve">#8 teriflunomide*:ti,ab,kw </w:t>
      </w:r>
      <w:r>
        <w:tab/>
      </w:r>
      <w:r>
        <w:tab/>
      </w:r>
      <w:r>
        <w:tab/>
      </w:r>
      <w:r>
        <w:tab/>
      </w:r>
      <w:r>
        <w:tab/>
      </w:r>
      <w:r w:rsidR="00F83DB0">
        <w:t xml:space="preserve">              </w:t>
      </w:r>
      <w:r w:rsidR="004A331F">
        <w:t xml:space="preserve"> </w:t>
      </w:r>
      <w:r>
        <w:t>45</w:t>
      </w:r>
    </w:p>
    <w:p w:rsidR="00D8427B" w:rsidRDefault="00D8427B" w:rsidP="00D8427B">
      <w:pPr>
        <w:spacing w:after="0" w:line="240" w:lineRule="auto"/>
      </w:pPr>
      <w:r>
        <w:t>#9 MeSH descriptor: [Interferon-beta] this term only</w:t>
      </w:r>
      <w:r>
        <w:tab/>
      </w:r>
      <w:r>
        <w:tab/>
      </w:r>
      <w:r>
        <w:tab/>
        <w:t>524</w:t>
      </w:r>
    </w:p>
    <w:p w:rsidR="00D8427B" w:rsidRDefault="00D8427B" w:rsidP="00D8427B">
      <w:pPr>
        <w:spacing w:after="0" w:line="240" w:lineRule="auto"/>
      </w:pPr>
      <w:r>
        <w:t xml:space="preserve">#10 (interferon next beta*):ti,ab,kw </w:t>
      </w:r>
      <w:r>
        <w:tab/>
      </w:r>
      <w:r>
        <w:tab/>
      </w:r>
      <w:r>
        <w:tab/>
      </w:r>
      <w:r>
        <w:tab/>
      </w:r>
      <w:r>
        <w:tab/>
        <w:t>1005</w:t>
      </w:r>
    </w:p>
    <w:p w:rsidR="00D8427B" w:rsidRDefault="00D8427B" w:rsidP="00D8427B">
      <w:pPr>
        <w:spacing w:after="0" w:line="240" w:lineRule="auto"/>
      </w:pPr>
      <w:r>
        <w:t xml:space="preserve">#11 (glatiramer aceta* or glatirameraceta*):ti,ab,kw </w:t>
      </w:r>
      <w:r>
        <w:tab/>
      </w:r>
      <w:r>
        <w:tab/>
      </w:r>
      <w:r>
        <w:tab/>
        <w:t>205</w:t>
      </w:r>
    </w:p>
    <w:p w:rsidR="00D8427B" w:rsidRPr="007F3BF7" w:rsidRDefault="00D8427B" w:rsidP="00D8427B">
      <w:pPr>
        <w:spacing w:after="0" w:line="240" w:lineRule="auto"/>
      </w:pPr>
      <w:r w:rsidRPr="007F3BF7">
        <w:t xml:space="preserve">#12 natalizumab:ti,ab,kw </w:t>
      </w:r>
      <w:r w:rsidRPr="007F3BF7">
        <w:tab/>
      </w:r>
      <w:r w:rsidRPr="007F3BF7">
        <w:tab/>
      </w:r>
      <w:r w:rsidRPr="007F3BF7">
        <w:tab/>
      </w:r>
      <w:r w:rsidRPr="007F3BF7">
        <w:tab/>
      </w:r>
      <w:r w:rsidRPr="007F3BF7">
        <w:tab/>
      </w:r>
      <w:r w:rsidRPr="007F3BF7">
        <w:tab/>
        <w:t>135</w:t>
      </w:r>
    </w:p>
    <w:p w:rsidR="00D8427B" w:rsidRPr="007F3BF7" w:rsidRDefault="00D8427B" w:rsidP="00D8427B">
      <w:pPr>
        <w:spacing w:after="0" w:line="240" w:lineRule="auto"/>
      </w:pPr>
      <w:r w:rsidRPr="007F3BF7">
        <w:t xml:space="preserve">#13 fingolimod:ti,ab,kw </w:t>
      </w:r>
      <w:r w:rsidRPr="007F3BF7">
        <w:tab/>
      </w:r>
      <w:r w:rsidRPr="007F3BF7">
        <w:tab/>
      </w:r>
      <w:r w:rsidRPr="007F3BF7">
        <w:tab/>
      </w:r>
      <w:r w:rsidRPr="007F3BF7">
        <w:tab/>
      </w:r>
      <w:r w:rsidRPr="007F3BF7">
        <w:tab/>
      </w:r>
      <w:r w:rsidRPr="007F3BF7">
        <w:tab/>
        <w:t>128</w:t>
      </w:r>
    </w:p>
    <w:p w:rsidR="00D8427B" w:rsidRDefault="00D8427B" w:rsidP="00D8427B">
      <w:pPr>
        <w:spacing w:after="0" w:line="240" w:lineRule="auto"/>
      </w:pPr>
      <w:r>
        <w:t xml:space="preserve">#14 alemtuzumab:ti,ab,kw </w:t>
      </w:r>
      <w:r>
        <w:tab/>
      </w:r>
      <w:r>
        <w:tab/>
      </w:r>
      <w:r>
        <w:tab/>
      </w:r>
      <w:r>
        <w:tab/>
      </w:r>
      <w:r>
        <w:tab/>
      </w:r>
      <w:r>
        <w:tab/>
        <w:t>251</w:t>
      </w:r>
    </w:p>
    <w:p w:rsidR="00D8427B" w:rsidRDefault="00D8427B" w:rsidP="00D8427B">
      <w:pPr>
        <w:spacing w:after="0" w:line="240" w:lineRule="auto"/>
      </w:pPr>
      <w:r>
        <w:t xml:space="preserve">#15 #7 or #8 or #9 or #10 or #11 or #12 or #13 or #14 </w:t>
      </w:r>
      <w:r>
        <w:tab/>
      </w:r>
      <w:r>
        <w:tab/>
      </w:r>
      <w:r>
        <w:tab/>
        <w:t>1589</w:t>
      </w:r>
    </w:p>
    <w:p w:rsidR="00D8427B" w:rsidRDefault="00D8427B" w:rsidP="00D8427B">
      <w:pPr>
        <w:spacing w:after="0" w:line="240" w:lineRule="auto"/>
      </w:pPr>
      <w:r>
        <w:t xml:space="preserve">#16 #6 and #15 </w:t>
      </w:r>
      <w:r>
        <w:tab/>
      </w:r>
      <w:r>
        <w:tab/>
      </w:r>
      <w:r>
        <w:tab/>
      </w:r>
      <w:r>
        <w:tab/>
      </w:r>
      <w:r>
        <w:tab/>
      </w:r>
      <w:r>
        <w:tab/>
      </w:r>
      <w:r>
        <w:tab/>
      </w:r>
      <w:r>
        <w:tab/>
        <w:t>1150</w:t>
      </w:r>
    </w:p>
    <w:p w:rsidR="00D8427B" w:rsidRDefault="00D8427B" w:rsidP="00D8427B">
      <w:pPr>
        <w:spacing w:after="0" w:line="240" w:lineRule="auto"/>
      </w:pPr>
      <w:r>
        <w:t xml:space="preserve">#17 #16 in Cochrane Reviews (Reviews and Protocols), Other Reviews, </w:t>
      </w:r>
    </w:p>
    <w:p w:rsidR="00D8427B" w:rsidRDefault="00D8427B" w:rsidP="00D8427B">
      <w:pPr>
        <w:spacing w:after="0" w:line="240" w:lineRule="auto"/>
      </w:pPr>
      <w:r>
        <w:t>Technology Assessments and Economic Evaluations</w:t>
      </w:r>
      <w:r>
        <w:tab/>
      </w:r>
      <w:r>
        <w:tab/>
        <w:t>122</w:t>
      </w:r>
    </w:p>
    <w:p w:rsidR="00D8427B" w:rsidRDefault="00D8427B" w:rsidP="00D8427B">
      <w:pPr>
        <w:spacing w:after="0" w:line="240" w:lineRule="auto"/>
      </w:pPr>
      <w:r>
        <w:lastRenderedPageBreak/>
        <w:t>#18</w:t>
      </w:r>
      <w:r>
        <w:tab/>
        <w:t>#16 Publication Year from 2013 to 2015, in Trials</w:t>
      </w:r>
      <w:r>
        <w:tab/>
        <w:t>181</w:t>
      </w:r>
    </w:p>
    <w:p w:rsidR="00ED1C66" w:rsidRPr="00F7606D" w:rsidRDefault="00D8427B" w:rsidP="00F83DB0">
      <w:pPr>
        <w:spacing w:after="0" w:line="240" w:lineRule="auto"/>
        <w:rPr>
          <w:b/>
        </w:rPr>
      </w:pPr>
      <w:r>
        <w:t>#19</w:t>
      </w:r>
      <w:r>
        <w:tab/>
        <w:t>#16 Publication Year from 2015 to 2015, in Trials</w:t>
      </w:r>
      <w:r>
        <w:tab/>
        <w:t>29</w:t>
      </w:r>
    </w:p>
    <w:p w:rsidR="00ED1C66" w:rsidRDefault="00ED1C66" w:rsidP="00ED1C66">
      <w:pPr>
        <w:spacing w:line="240" w:lineRule="auto"/>
        <w:contextualSpacing/>
        <w:rPr>
          <w:b/>
        </w:rPr>
      </w:pPr>
      <w:r w:rsidRPr="00F7606D">
        <w:rPr>
          <w:b/>
        </w:rPr>
        <w:t>Database: Centre for Reviews and Dissemination (CRD)</w:t>
      </w:r>
    </w:p>
    <w:p w:rsidR="00F83DB0" w:rsidRPr="00F83DB0" w:rsidRDefault="00F83DB0" w:rsidP="00F83DB0">
      <w:pPr>
        <w:spacing w:line="240" w:lineRule="auto"/>
        <w:contextualSpacing/>
      </w:pPr>
      <w:r w:rsidRPr="00F83DB0">
        <w:t xml:space="preserve">Line </w:t>
      </w:r>
      <w:r w:rsidRPr="00F83DB0">
        <w:tab/>
        <w:t>Search</w:t>
      </w:r>
      <w:r w:rsidRPr="00F83DB0">
        <w:tab/>
        <w:t>Hits</w:t>
      </w:r>
    </w:p>
    <w:p w:rsidR="00F83DB0" w:rsidRPr="00F83DB0" w:rsidRDefault="00F83DB0" w:rsidP="00F83DB0">
      <w:pPr>
        <w:spacing w:line="240" w:lineRule="auto"/>
        <w:contextualSpacing/>
      </w:pPr>
      <w:r w:rsidRPr="00F83DB0">
        <w:t>1</w:t>
      </w:r>
      <w:r>
        <w:t xml:space="preserve"> </w:t>
      </w:r>
      <w:r w:rsidRPr="00F83DB0">
        <w:t>MeSH DESCRIPTOR Multiple Sclerosis</w:t>
      </w:r>
      <w:r w:rsidRPr="00F83DB0">
        <w:tab/>
        <w:t>201</w:t>
      </w:r>
    </w:p>
    <w:p w:rsidR="00F83DB0" w:rsidRPr="00F83DB0" w:rsidRDefault="00F83DB0" w:rsidP="00F83DB0">
      <w:pPr>
        <w:spacing w:line="240" w:lineRule="auto"/>
        <w:contextualSpacing/>
      </w:pPr>
      <w:r w:rsidRPr="00F83DB0">
        <w:t>2</w:t>
      </w:r>
      <w:r>
        <w:t xml:space="preserve"> </w:t>
      </w:r>
      <w:r w:rsidRPr="00F83DB0">
        <w:t>MeSH DESCRIPTOR Multiple Sclerosis, Chronic Progressive</w:t>
      </w:r>
      <w:r w:rsidRPr="00F83DB0">
        <w:tab/>
        <w:t>12</w:t>
      </w:r>
    </w:p>
    <w:p w:rsidR="00F83DB0" w:rsidRPr="00F83DB0" w:rsidRDefault="00F83DB0" w:rsidP="00F83DB0">
      <w:pPr>
        <w:spacing w:line="240" w:lineRule="auto"/>
        <w:contextualSpacing/>
      </w:pPr>
      <w:r w:rsidRPr="00F83DB0">
        <w:t>3</w:t>
      </w:r>
      <w:r>
        <w:t xml:space="preserve"> </w:t>
      </w:r>
      <w:r w:rsidRPr="00F83DB0">
        <w:t>MeSH DESCRIPTOR Multiple Sclerosis, Relapsing-Remitting</w:t>
      </w:r>
      <w:r w:rsidRPr="00F83DB0">
        <w:tab/>
        <w:t>60</w:t>
      </w:r>
    </w:p>
    <w:p w:rsidR="00F83DB0" w:rsidRPr="00F83DB0" w:rsidRDefault="00F83DB0" w:rsidP="00F83DB0">
      <w:pPr>
        <w:spacing w:line="240" w:lineRule="auto"/>
        <w:contextualSpacing/>
      </w:pPr>
      <w:r w:rsidRPr="00F83DB0">
        <w:t>4</w:t>
      </w:r>
      <w:r>
        <w:t xml:space="preserve"> </w:t>
      </w:r>
      <w:r w:rsidRPr="00F83DB0">
        <w:t>MeSH DESCRIPTOR Neuromyelitis Optica</w:t>
      </w:r>
      <w:r w:rsidRPr="00F83DB0">
        <w:tab/>
        <w:t>1</w:t>
      </w:r>
    </w:p>
    <w:p w:rsidR="00F83DB0" w:rsidRPr="00F83DB0" w:rsidRDefault="00F83DB0" w:rsidP="00F83DB0">
      <w:pPr>
        <w:spacing w:line="240" w:lineRule="auto"/>
        <w:contextualSpacing/>
      </w:pPr>
      <w:r w:rsidRPr="00F83DB0">
        <w:t>5</w:t>
      </w:r>
      <w:r>
        <w:t xml:space="preserve"> </w:t>
      </w:r>
      <w:r w:rsidRPr="00F83DB0">
        <w:t>((multiple sclerosis OR disseminated sclerosis OR sclerosis multiplex OR "neuromyelitis optica"))</w:t>
      </w:r>
      <w:r>
        <w:t xml:space="preserve"> </w:t>
      </w:r>
      <w:r w:rsidRPr="00F83DB0">
        <w:t>408</w:t>
      </w:r>
    </w:p>
    <w:p w:rsidR="00F83DB0" w:rsidRPr="00F83DB0" w:rsidRDefault="00F83DB0" w:rsidP="00F83DB0">
      <w:pPr>
        <w:spacing w:line="240" w:lineRule="auto"/>
        <w:contextualSpacing/>
      </w:pPr>
      <w:r w:rsidRPr="00F83DB0">
        <w:t>6</w:t>
      </w:r>
      <w:r>
        <w:t xml:space="preserve">  </w:t>
      </w:r>
      <w:r w:rsidRPr="00F83DB0">
        <w:t>((MS OR SPMS OR PPMS OR RRMS))</w:t>
      </w:r>
      <w:r w:rsidRPr="00F83DB0">
        <w:tab/>
        <w:t>808</w:t>
      </w:r>
    </w:p>
    <w:p w:rsidR="00F83DB0" w:rsidRPr="00F83DB0" w:rsidRDefault="00F83DB0" w:rsidP="00F83DB0">
      <w:pPr>
        <w:spacing w:line="240" w:lineRule="auto"/>
        <w:contextualSpacing/>
      </w:pPr>
      <w:r w:rsidRPr="00F83DB0">
        <w:t>7</w:t>
      </w:r>
      <w:r>
        <w:t xml:space="preserve"> </w:t>
      </w:r>
      <w:r w:rsidRPr="00F83DB0">
        <w:t>#1 OR #2 OR #3 OR #4 OR #5 OR #6</w:t>
      </w:r>
      <w:r w:rsidRPr="00F83DB0">
        <w:tab/>
        <w:t>1052</w:t>
      </w:r>
    </w:p>
    <w:p w:rsidR="00F83DB0" w:rsidRPr="00F83DB0" w:rsidRDefault="00F83DB0" w:rsidP="00F83DB0">
      <w:pPr>
        <w:spacing w:line="240" w:lineRule="auto"/>
        <w:contextualSpacing/>
      </w:pPr>
      <w:r w:rsidRPr="00F83DB0">
        <w:t>8</w:t>
      </w:r>
      <w:r>
        <w:t xml:space="preserve"> </w:t>
      </w:r>
      <w:r w:rsidRPr="00F83DB0">
        <w:t>((dimethyl fumarate* or dimethylfumarate*))</w:t>
      </w:r>
      <w:r w:rsidR="004A331F">
        <w:t xml:space="preserve"> </w:t>
      </w:r>
      <w:r w:rsidRPr="00F83DB0">
        <w:t>12</w:t>
      </w:r>
    </w:p>
    <w:p w:rsidR="00F83DB0" w:rsidRPr="00F83DB0" w:rsidRDefault="00F83DB0" w:rsidP="00F83DB0">
      <w:pPr>
        <w:spacing w:line="240" w:lineRule="auto"/>
        <w:contextualSpacing/>
      </w:pPr>
      <w:r w:rsidRPr="00F83DB0">
        <w:t>9</w:t>
      </w:r>
      <w:r>
        <w:t xml:space="preserve"> </w:t>
      </w:r>
      <w:r w:rsidRPr="00F83DB0">
        <w:t>(teriflunomide*)</w:t>
      </w:r>
      <w:r w:rsidR="004A331F">
        <w:t xml:space="preserve"> </w:t>
      </w:r>
      <w:r w:rsidRPr="00F83DB0">
        <w:t>8</w:t>
      </w:r>
    </w:p>
    <w:p w:rsidR="00F83DB0" w:rsidRPr="00F83DB0" w:rsidRDefault="00F83DB0" w:rsidP="00F83DB0">
      <w:pPr>
        <w:spacing w:line="240" w:lineRule="auto"/>
        <w:contextualSpacing/>
      </w:pPr>
      <w:r w:rsidRPr="00F83DB0">
        <w:t>10</w:t>
      </w:r>
      <w:r>
        <w:t xml:space="preserve"> </w:t>
      </w:r>
      <w:r w:rsidRPr="00F83DB0">
        <w:t>MeSH DESCRIPTOR Interferon-beta</w:t>
      </w:r>
      <w:r w:rsidR="004A331F">
        <w:t xml:space="preserve"> </w:t>
      </w:r>
      <w:r w:rsidRPr="00F83DB0">
        <w:t>68</w:t>
      </w:r>
    </w:p>
    <w:p w:rsidR="00F83DB0" w:rsidRPr="00F83DB0" w:rsidRDefault="00F83DB0" w:rsidP="00F83DB0">
      <w:pPr>
        <w:spacing w:line="240" w:lineRule="auto"/>
        <w:contextualSpacing/>
      </w:pPr>
      <w:r w:rsidRPr="00F83DB0">
        <w:t>11</w:t>
      </w:r>
      <w:r>
        <w:t xml:space="preserve"> </w:t>
      </w:r>
      <w:r w:rsidRPr="00F83DB0">
        <w:t>((interferon next beta*))</w:t>
      </w:r>
      <w:r w:rsidR="004A331F">
        <w:t xml:space="preserve"> </w:t>
      </w:r>
      <w:r w:rsidRPr="00F83DB0">
        <w:t>94</w:t>
      </w:r>
    </w:p>
    <w:p w:rsidR="00F83DB0" w:rsidRPr="00F83DB0" w:rsidRDefault="00F83DB0" w:rsidP="00F83DB0">
      <w:pPr>
        <w:spacing w:line="240" w:lineRule="auto"/>
        <w:contextualSpacing/>
      </w:pPr>
      <w:r w:rsidRPr="00F83DB0">
        <w:t>12</w:t>
      </w:r>
      <w:r>
        <w:t xml:space="preserve"> </w:t>
      </w:r>
      <w:r w:rsidRPr="00F83DB0">
        <w:t>((glatiramer aceta* or glatirameraceta*))</w:t>
      </w:r>
      <w:r>
        <w:t xml:space="preserve"> </w:t>
      </w:r>
      <w:r w:rsidRPr="00F83DB0">
        <w:t>32</w:t>
      </w:r>
    </w:p>
    <w:p w:rsidR="00F83DB0" w:rsidRPr="00F83DB0" w:rsidRDefault="00F83DB0" w:rsidP="00F83DB0">
      <w:pPr>
        <w:spacing w:line="240" w:lineRule="auto"/>
        <w:contextualSpacing/>
      </w:pPr>
      <w:r w:rsidRPr="00F83DB0">
        <w:t>13</w:t>
      </w:r>
      <w:r>
        <w:t xml:space="preserve"> </w:t>
      </w:r>
      <w:r w:rsidRPr="00F83DB0">
        <w:t>(natalizumab)</w:t>
      </w:r>
      <w:r w:rsidR="004A331F">
        <w:t xml:space="preserve"> </w:t>
      </w:r>
      <w:r w:rsidRPr="00F83DB0">
        <w:t>34</w:t>
      </w:r>
    </w:p>
    <w:p w:rsidR="00F83DB0" w:rsidRPr="00F83DB0" w:rsidRDefault="00F83DB0" w:rsidP="00F83DB0">
      <w:pPr>
        <w:spacing w:line="240" w:lineRule="auto"/>
        <w:contextualSpacing/>
      </w:pPr>
      <w:r w:rsidRPr="00F83DB0">
        <w:t>14</w:t>
      </w:r>
      <w:r>
        <w:t xml:space="preserve"> </w:t>
      </w:r>
      <w:r w:rsidRPr="00F83DB0">
        <w:t>(fingolimod)</w:t>
      </w:r>
      <w:r w:rsidRPr="00F83DB0">
        <w:tab/>
        <w:t>22</w:t>
      </w:r>
    </w:p>
    <w:p w:rsidR="00F83DB0" w:rsidRPr="00F83DB0" w:rsidRDefault="00F83DB0" w:rsidP="00F83DB0">
      <w:pPr>
        <w:spacing w:line="240" w:lineRule="auto"/>
        <w:contextualSpacing/>
      </w:pPr>
      <w:r w:rsidRPr="00F83DB0">
        <w:t>15</w:t>
      </w:r>
      <w:r>
        <w:t xml:space="preserve"> </w:t>
      </w:r>
      <w:r w:rsidRPr="00F83DB0">
        <w:t>(alemtuzumab)</w:t>
      </w:r>
      <w:r w:rsidR="004A331F">
        <w:t xml:space="preserve"> </w:t>
      </w:r>
      <w:r w:rsidRPr="00F83DB0">
        <w:t>34</w:t>
      </w:r>
    </w:p>
    <w:p w:rsidR="00F83DB0" w:rsidRPr="00F83DB0" w:rsidRDefault="00F83DB0" w:rsidP="00F83DB0">
      <w:pPr>
        <w:spacing w:line="240" w:lineRule="auto"/>
        <w:contextualSpacing/>
      </w:pPr>
      <w:r w:rsidRPr="00F83DB0">
        <w:t>16</w:t>
      </w:r>
      <w:r>
        <w:t xml:space="preserve"> </w:t>
      </w:r>
      <w:r w:rsidRPr="00F83DB0">
        <w:t>#8 OR #9 OR #10 OR #11 OR #12 OR #13 OR #14 OR #15</w:t>
      </w:r>
      <w:r>
        <w:t xml:space="preserve">   </w:t>
      </w:r>
      <w:r w:rsidRPr="00F83DB0">
        <w:t>178</w:t>
      </w:r>
    </w:p>
    <w:p w:rsidR="00F83DB0" w:rsidRPr="00F83DB0" w:rsidRDefault="00F83DB0" w:rsidP="00F83DB0">
      <w:pPr>
        <w:spacing w:line="240" w:lineRule="auto"/>
        <w:contextualSpacing/>
      </w:pPr>
      <w:r w:rsidRPr="00F83DB0">
        <w:t>17</w:t>
      </w:r>
      <w:r>
        <w:t xml:space="preserve"> </w:t>
      </w:r>
      <w:r w:rsidRPr="00F83DB0">
        <w:t>#7 AND #16</w:t>
      </w:r>
      <w:r w:rsidRPr="00F83DB0">
        <w:tab/>
        <w:t>129</w:t>
      </w:r>
    </w:p>
    <w:p w:rsidR="00F83DB0" w:rsidRPr="00F83DB0" w:rsidRDefault="00F83DB0" w:rsidP="00F83DB0">
      <w:pPr>
        <w:spacing w:line="240" w:lineRule="auto"/>
        <w:contextualSpacing/>
      </w:pPr>
      <w:r w:rsidRPr="00F83DB0">
        <w:t>18</w:t>
      </w:r>
      <w:r>
        <w:t xml:space="preserve"> </w:t>
      </w:r>
      <w:r w:rsidRPr="00F83DB0">
        <w:t>(#17) IN DARE, HTA</w:t>
      </w:r>
      <w:r w:rsidR="004A331F">
        <w:t xml:space="preserve">   </w:t>
      </w:r>
      <w:r w:rsidRPr="00F83DB0">
        <w:t>83</w:t>
      </w:r>
    </w:p>
    <w:p w:rsidR="00F83DB0" w:rsidRDefault="00F83DB0" w:rsidP="00F83DB0">
      <w:pPr>
        <w:spacing w:line="240" w:lineRule="auto"/>
        <w:contextualSpacing/>
      </w:pPr>
      <w:r w:rsidRPr="00F83DB0">
        <w:t>19</w:t>
      </w:r>
      <w:r>
        <w:t xml:space="preserve"> </w:t>
      </w:r>
      <w:r w:rsidRPr="00F83DB0">
        <w:t>(#17) IN NHSEED</w:t>
      </w:r>
      <w:r w:rsidRPr="00F83DB0">
        <w:tab/>
        <w:t>46</w:t>
      </w:r>
      <w:r>
        <w:t xml:space="preserve"> </w:t>
      </w:r>
    </w:p>
    <w:p w:rsidR="00E33B55" w:rsidRDefault="00ED1C66" w:rsidP="00E33B55">
      <w:pPr>
        <w:spacing w:line="240" w:lineRule="auto"/>
        <w:contextualSpacing/>
        <w:rPr>
          <w:b/>
        </w:rPr>
      </w:pPr>
      <w:r w:rsidRPr="00F7606D">
        <w:rPr>
          <w:b/>
        </w:rPr>
        <w:t>Database: PubMed</w:t>
      </w:r>
    </w:p>
    <w:p w:rsidR="00E33B55" w:rsidRDefault="00F83DB0" w:rsidP="00E33B55">
      <w:pPr>
        <w:spacing w:line="240" w:lineRule="auto"/>
        <w:contextualSpacing/>
        <w:rPr>
          <w:rStyle w:val="apple-converted-space"/>
          <w:rFonts w:ascii="Georgia" w:hAnsi="Georgia" w:cs="Arial"/>
          <w:color w:val="000000"/>
          <w:shd w:val="clear" w:color="auto" w:fill="FFFFFF"/>
        </w:rPr>
      </w:pPr>
      <w:r w:rsidRPr="00F7606D">
        <w:rPr>
          <w:rStyle w:val="apple-converted-space"/>
          <w:rFonts w:ascii="Georgia" w:hAnsi="Georgia" w:cs="Arial"/>
          <w:color w:val="000000"/>
          <w:shd w:val="clear" w:color="auto" w:fill="FFFFFF"/>
        </w:rPr>
        <w:t>SR:</w:t>
      </w:r>
    </w:p>
    <w:p w:rsidR="00E33B55" w:rsidRDefault="00F83DB0" w:rsidP="00E33B55">
      <w:pPr>
        <w:spacing w:line="240" w:lineRule="auto"/>
        <w:contextualSpacing/>
        <w:rPr>
          <w:rFonts w:cs="Arial"/>
          <w:bCs/>
          <w:color w:val="000000"/>
          <w:shd w:val="clear" w:color="auto" w:fill="FFFFFF"/>
        </w:rPr>
      </w:pPr>
      <w:r w:rsidRPr="00F7606D">
        <w:rPr>
          <w:rFonts w:cs="Arial"/>
          <w:bCs/>
          <w:color w:val="000000"/>
          <w:shd w:val="clear" w:color="auto" w:fill="FFFFFF"/>
        </w:rPr>
        <w:t xml:space="preserve">((((multiple sclerosis[MeSH Terms]) OR (("multiple sclerosis" OR "disseminated sclerosis" OR "sclerosis multiplex" OR </w:t>
      </w:r>
      <w:r w:rsidRPr="00F7606D">
        <w:t xml:space="preserve">"neuromyelitis optica")) OR </w:t>
      </w:r>
      <w:r w:rsidRPr="00F7606D">
        <w:rPr>
          <w:rFonts w:cs="Arial"/>
          <w:bCs/>
          <w:color w:val="000000"/>
          <w:shd w:val="clear" w:color="auto" w:fill="FFFFFF"/>
        </w:rPr>
        <w:t xml:space="preserve">"MS" OR SPMS OR PPMS OR RRMS)))) </w:t>
      </w:r>
    </w:p>
    <w:p w:rsidR="00E33B55" w:rsidRDefault="00F83DB0" w:rsidP="00E33B55">
      <w:pPr>
        <w:spacing w:line="240" w:lineRule="auto"/>
        <w:contextualSpacing/>
        <w:rPr>
          <w:rFonts w:cs="Arial"/>
          <w:bCs/>
          <w:color w:val="000000"/>
          <w:shd w:val="clear" w:color="auto" w:fill="FFFFFF"/>
        </w:rPr>
      </w:pPr>
      <w:r w:rsidRPr="00F7606D">
        <w:rPr>
          <w:rFonts w:cs="Arial"/>
          <w:bCs/>
          <w:color w:val="000000"/>
          <w:shd w:val="clear" w:color="auto" w:fill="FFFFFF"/>
        </w:rPr>
        <w:t>AND ((((((((("dimethyl fumarate"[Title/Abstract] OR dimethylfumarate[Title/Abstract]))) OR teriflunomide[Title/Abstract]) OR (("interferon beta"[Title/Abstract] OR interferon-beta[Title/Abstract]))) OR (("glatiramer aceta"[Title/Abstract] OR glatirameraceta[Title/Abstract]))) OR natalizumab[Title/Abstract]) OR fingolimod[Title/Abstract]) OR alemtuzumab[Title/Abstract])) AND review AND Pubstatusaheadofprint</w:t>
      </w:r>
    </w:p>
    <w:p w:rsidR="00E33B55" w:rsidRDefault="00E33B55" w:rsidP="00E33B55">
      <w:pPr>
        <w:spacing w:line="240" w:lineRule="auto"/>
        <w:contextualSpacing/>
        <w:rPr>
          <w:rFonts w:cs="Arial"/>
          <w:bCs/>
          <w:color w:val="000000"/>
          <w:shd w:val="clear" w:color="auto" w:fill="FFFFFF"/>
        </w:rPr>
      </w:pPr>
      <w:r>
        <w:rPr>
          <w:rFonts w:cs="Arial"/>
          <w:bCs/>
          <w:color w:val="000000"/>
          <w:shd w:val="clear" w:color="auto" w:fill="FFFFFF"/>
        </w:rPr>
        <w:t>R</w:t>
      </w:r>
      <w:r w:rsidR="00F83DB0" w:rsidRPr="00F7606D">
        <w:rPr>
          <w:rFonts w:cs="Arial"/>
          <w:bCs/>
          <w:color w:val="000000"/>
          <w:shd w:val="clear" w:color="auto" w:fill="FFFFFF"/>
        </w:rPr>
        <w:t xml:space="preserve">CT:(((randomized[Title/Abstract] OR randomly[Title/Abstract]))) AND (((((multiple sclerosis[MeSH Terms]) OR (("multiple sclerosis" OR "disseminated sclerosis" OR "sclerosis multiplex" OR </w:t>
      </w:r>
      <w:r w:rsidR="00F83DB0" w:rsidRPr="00F7606D">
        <w:t xml:space="preserve">"neuromyelitis optica")) OR </w:t>
      </w:r>
      <w:r w:rsidR="00F83DB0" w:rsidRPr="00F7606D">
        <w:rPr>
          <w:rFonts w:cs="Arial"/>
          <w:bCs/>
          <w:color w:val="000000"/>
          <w:shd w:val="clear" w:color="auto" w:fill="FFFFFF"/>
        </w:rPr>
        <w:t>"MS" OR SPMS OR PPMS OR RRMS)))) AND ((((((((("dimethyl fumarate"[Title/Abstract] OR dimethylfumarate[Title/Abstract]))) OR teriflunomide[Title/Abstract]) OR (("interferon beta"[Title/Abstract] OR interferon-beta[Title/Abstract]))) OR (("glatiramer aceta"[Title/Abstract] OR glatirameraceta[Title/Abstract]))) OR natalizumab[Title/Abstract]) OR fingolimod[Title/Abstract]) OR alemtuzumab[Title/Abstract])) AND pubstatusaheadofprint)</w:t>
      </w:r>
    </w:p>
    <w:p w:rsidR="00E33B55" w:rsidRDefault="00E33B55" w:rsidP="00E33B55">
      <w:pPr>
        <w:spacing w:line="240" w:lineRule="auto"/>
        <w:contextualSpacing/>
        <w:rPr>
          <w:rFonts w:cs="Arial"/>
          <w:bCs/>
          <w:color w:val="000000"/>
          <w:shd w:val="clear" w:color="auto" w:fill="FFFFFF"/>
        </w:rPr>
      </w:pPr>
      <w:r>
        <w:rPr>
          <w:rFonts w:cs="Arial"/>
          <w:bCs/>
          <w:color w:val="000000"/>
          <w:shd w:val="clear" w:color="auto" w:fill="FFFFFF"/>
        </w:rPr>
        <w:t>Jiklhklhkhkjk</w:t>
      </w:r>
    </w:p>
    <w:p w:rsidR="00E33B55" w:rsidRDefault="00E33B55" w:rsidP="00E33B55">
      <w:pPr>
        <w:spacing w:line="240" w:lineRule="auto"/>
        <w:contextualSpacing/>
        <w:rPr>
          <w:b/>
        </w:rPr>
      </w:pPr>
      <w:r w:rsidRPr="00F7606D">
        <w:rPr>
          <w:b/>
        </w:rPr>
        <w:t>Web of Science</w:t>
      </w:r>
    </w:p>
    <w:p w:rsidR="00E33B55" w:rsidRDefault="00E33B55" w:rsidP="00E33B55">
      <w:pPr>
        <w:spacing w:line="240" w:lineRule="auto"/>
        <w:contextualSpacing/>
        <w:rPr>
          <w:rFonts w:cs="Arial"/>
          <w:bCs/>
          <w:color w:val="000000"/>
          <w:shd w:val="clear" w:color="auto" w:fill="FFFFFF"/>
        </w:rPr>
      </w:pPr>
      <w:r w:rsidRPr="00E33B55">
        <w:rPr>
          <w:rFonts w:cs="Arial"/>
          <w:bCs/>
          <w:color w:val="000000"/>
          <w:shd w:val="clear" w:color="auto" w:fill="FFFFFF"/>
        </w:rPr>
        <w:t># 16</w:t>
      </w:r>
      <w:r w:rsidR="004A331F">
        <w:rPr>
          <w:rFonts w:cs="Arial"/>
          <w:bCs/>
          <w:color w:val="000000"/>
          <w:shd w:val="clear" w:color="auto" w:fill="FFFFFF"/>
        </w:rPr>
        <w:t xml:space="preserve"> </w:t>
      </w:r>
      <w:r w:rsidRPr="00E33B55">
        <w:rPr>
          <w:rFonts w:cs="Arial"/>
          <w:bCs/>
          <w:color w:val="000000"/>
          <w:shd w:val="clear" w:color="auto" w:fill="FFFFFF"/>
        </w:rPr>
        <w:t>66</w:t>
      </w:r>
      <w:r w:rsidRPr="00E33B55">
        <w:rPr>
          <w:rFonts w:cs="Arial"/>
          <w:bCs/>
          <w:color w:val="000000"/>
          <w:shd w:val="clear" w:color="auto" w:fill="FFFFFF"/>
        </w:rPr>
        <w:tab/>
        <w:t>#15 AND #14</w:t>
      </w:r>
    </w:p>
    <w:p w:rsidR="00E33B55" w:rsidRDefault="00E33B55" w:rsidP="00E33B55">
      <w:pPr>
        <w:spacing w:line="240" w:lineRule="auto"/>
        <w:contextualSpacing/>
        <w:rPr>
          <w:rFonts w:cs="Arial"/>
          <w:bCs/>
          <w:color w:val="000000"/>
          <w:shd w:val="clear" w:color="auto" w:fill="FFFFFF"/>
        </w:rPr>
      </w:pPr>
      <w:r w:rsidRPr="00E33B55">
        <w:rPr>
          <w:rFonts w:cs="Arial"/>
          <w:bCs/>
          <w:color w:val="000000"/>
          <w:shd w:val="clear" w:color="auto" w:fill="FFFFFF"/>
        </w:rPr>
        <w:t>Timespan=2013-2015</w:t>
      </w:r>
      <w:r>
        <w:rPr>
          <w:rFonts w:cs="Arial"/>
          <w:bCs/>
          <w:color w:val="000000"/>
          <w:shd w:val="clear" w:color="auto" w:fill="FFFFFF"/>
        </w:rPr>
        <w:t xml:space="preserve"> </w:t>
      </w:r>
    </w:p>
    <w:p w:rsidR="00E33B55" w:rsidRDefault="00E33B55" w:rsidP="00E33B55">
      <w:pPr>
        <w:spacing w:line="240" w:lineRule="auto"/>
        <w:contextualSpacing/>
        <w:rPr>
          <w:rFonts w:cs="Arial"/>
          <w:bCs/>
          <w:color w:val="000000"/>
          <w:shd w:val="clear" w:color="auto" w:fill="FFFFFF"/>
        </w:rPr>
      </w:pPr>
      <w:r w:rsidRPr="00E33B55">
        <w:rPr>
          <w:rFonts w:cs="Arial"/>
          <w:bCs/>
          <w:color w:val="000000"/>
          <w:shd w:val="clear" w:color="auto" w:fill="FFFFFF"/>
        </w:rPr>
        <w:t xml:space="preserve">Search language=Auto  </w:t>
      </w:r>
    </w:p>
    <w:p w:rsidR="00E33B55" w:rsidRDefault="00E33B55" w:rsidP="00E33B55">
      <w:pPr>
        <w:spacing w:line="240" w:lineRule="auto"/>
        <w:contextualSpacing/>
        <w:rPr>
          <w:rFonts w:cs="Arial"/>
          <w:bCs/>
          <w:color w:val="000000"/>
          <w:shd w:val="clear" w:color="auto" w:fill="FFFFFF"/>
        </w:rPr>
      </w:pPr>
      <w:r w:rsidRPr="00E33B55">
        <w:rPr>
          <w:rFonts w:cs="Arial"/>
          <w:bCs/>
          <w:color w:val="000000"/>
          <w:shd w:val="clear" w:color="auto" w:fill="FFFFFF"/>
        </w:rPr>
        <w:t># 15</w:t>
      </w:r>
      <w:r w:rsidR="004A331F">
        <w:rPr>
          <w:rFonts w:cs="Arial"/>
          <w:bCs/>
          <w:color w:val="000000"/>
          <w:shd w:val="clear" w:color="auto" w:fill="FFFFFF"/>
        </w:rPr>
        <w:t xml:space="preserve"> </w:t>
      </w:r>
      <w:r w:rsidRPr="00E33B55">
        <w:rPr>
          <w:rFonts w:cs="Arial"/>
          <w:bCs/>
          <w:color w:val="000000"/>
          <w:shd w:val="clear" w:color="auto" w:fill="FFFFFF"/>
        </w:rPr>
        <w:t>Approximately</w:t>
      </w:r>
      <w:r>
        <w:rPr>
          <w:rFonts w:cs="Arial"/>
          <w:bCs/>
          <w:color w:val="000000"/>
          <w:shd w:val="clear" w:color="auto" w:fill="FFFFFF"/>
        </w:rPr>
        <w:t xml:space="preserve">  </w:t>
      </w:r>
    </w:p>
    <w:p w:rsidR="00E33B55" w:rsidRDefault="00E33B55" w:rsidP="00E33B55">
      <w:pPr>
        <w:spacing w:line="240" w:lineRule="auto"/>
        <w:contextualSpacing/>
        <w:rPr>
          <w:rFonts w:cs="Arial"/>
          <w:bCs/>
          <w:color w:val="000000"/>
          <w:shd w:val="clear" w:color="auto" w:fill="FFFFFF"/>
        </w:rPr>
      </w:pPr>
      <w:r w:rsidRPr="00E33B55">
        <w:rPr>
          <w:rFonts w:cs="Arial"/>
          <w:bCs/>
          <w:color w:val="000000"/>
          <w:shd w:val="clear" w:color="auto" w:fill="FFFFFF"/>
        </w:rPr>
        <w:t>6,298,345</w:t>
      </w:r>
      <w:r w:rsidRPr="00E33B55">
        <w:rPr>
          <w:rFonts w:cs="Arial"/>
          <w:bCs/>
          <w:color w:val="000000"/>
          <w:shd w:val="clear" w:color="auto" w:fill="FFFFFF"/>
        </w:rPr>
        <w:tab/>
        <w:t>YEAR PUBLISHED: (2013-2015)</w:t>
      </w:r>
      <w:r>
        <w:rPr>
          <w:rFonts w:cs="Arial"/>
          <w:bCs/>
          <w:color w:val="000000"/>
          <w:shd w:val="clear" w:color="auto" w:fill="FFFFFF"/>
        </w:rPr>
        <w:t xml:space="preserve"> </w:t>
      </w:r>
    </w:p>
    <w:p w:rsidR="00E33B55" w:rsidRDefault="00E33B55" w:rsidP="00E33B55">
      <w:pPr>
        <w:spacing w:line="240" w:lineRule="auto"/>
        <w:contextualSpacing/>
        <w:rPr>
          <w:rFonts w:cs="Arial"/>
          <w:bCs/>
          <w:color w:val="000000"/>
          <w:shd w:val="clear" w:color="auto" w:fill="FFFFFF"/>
        </w:rPr>
      </w:pPr>
      <w:r w:rsidRPr="00E33B55">
        <w:rPr>
          <w:rFonts w:cs="Arial"/>
          <w:bCs/>
          <w:color w:val="000000"/>
          <w:shd w:val="clear" w:color="auto" w:fill="FFFFFF"/>
        </w:rPr>
        <w:t>Timespan=2013-2015</w:t>
      </w:r>
      <w:r>
        <w:rPr>
          <w:rFonts w:cs="Arial"/>
          <w:bCs/>
          <w:color w:val="000000"/>
          <w:shd w:val="clear" w:color="auto" w:fill="FFFFFF"/>
        </w:rPr>
        <w:t xml:space="preserve">  </w:t>
      </w:r>
    </w:p>
    <w:p w:rsidR="00E33B55" w:rsidRDefault="00E33B55" w:rsidP="00E33B55">
      <w:pPr>
        <w:spacing w:line="240" w:lineRule="auto"/>
        <w:contextualSpacing/>
        <w:rPr>
          <w:rFonts w:cs="Arial"/>
          <w:bCs/>
          <w:color w:val="000000"/>
          <w:shd w:val="clear" w:color="auto" w:fill="FFFFFF"/>
        </w:rPr>
      </w:pPr>
      <w:r w:rsidRPr="00E33B55">
        <w:rPr>
          <w:rFonts w:cs="Arial"/>
          <w:bCs/>
          <w:color w:val="000000"/>
          <w:shd w:val="clear" w:color="auto" w:fill="FFFFFF"/>
        </w:rPr>
        <w:t xml:space="preserve">Search language=Auto  </w:t>
      </w:r>
    </w:p>
    <w:p w:rsidR="00E33B55" w:rsidRPr="00E33B55" w:rsidRDefault="00E33B55" w:rsidP="00E33B55">
      <w:pPr>
        <w:spacing w:line="240" w:lineRule="auto"/>
        <w:contextualSpacing/>
        <w:rPr>
          <w:rFonts w:cs="Arial"/>
          <w:bCs/>
          <w:color w:val="000000"/>
          <w:shd w:val="clear" w:color="auto" w:fill="FFFFFF"/>
        </w:rPr>
      </w:pPr>
      <w:r w:rsidRPr="00E33B55">
        <w:rPr>
          <w:rFonts w:cs="Arial"/>
          <w:bCs/>
          <w:color w:val="000000"/>
          <w:shd w:val="clear" w:color="auto" w:fill="FFFFFF"/>
        </w:rPr>
        <w:t># 14</w:t>
      </w:r>
      <w:r w:rsidRPr="00E33B55">
        <w:rPr>
          <w:rFonts w:cs="Arial"/>
          <w:bCs/>
          <w:color w:val="000000"/>
          <w:shd w:val="clear" w:color="auto" w:fill="FFFFFF"/>
        </w:rPr>
        <w:tab/>
        <w:t>730</w:t>
      </w:r>
      <w:r w:rsidRPr="00E33B55">
        <w:rPr>
          <w:rFonts w:cs="Arial"/>
          <w:bCs/>
          <w:color w:val="000000"/>
          <w:shd w:val="clear" w:color="auto" w:fill="FFFFFF"/>
        </w:rPr>
        <w:tab/>
        <w:t>#2 AND #1</w:t>
      </w:r>
      <w:r>
        <w:rPr>
          <w:rFonts w:cs="Arial"/>
          <w:bCs/>
          <w:color w:val="000000"/>
          <w:shd w:val="clear" w:color="auto" w:fill="FFFFFF"/>
        </w:rPr>
        <w:t xml:space="preserve"> </w:t>
      </w:r>
      <w:r w:rsidRPr="00E33B55">
        <w:rPr>
          <w:rFonts w:cs="Arial"/>
          <w:bCs/>
          <w:color w:val="000000"/>
          <w:shd w:val="clear" w:color="auto" w:fill="FFFFFF"/>
        </w:rPr>
        <w:t>Refined by: Databases: ( WOS ) AND Databases: ( WOS ) AND DOCUMENT TYPES: ( CLINICAL TRIAL )</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lastRenderedPageBreak/>
        <w:t>Timespan=1995-2015</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xml:space="preserve">Search language=Auto  </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13</w:t>
      </w:r>
      <w:r w:rsidRPr="00E33B55">
        <w:rPr>
          <w:rFonts w:cs="Arial"/>
          <w:bCs/>
          <w:color w:val="000000"/>
          <w:shd w:val="clear" w:color="auto" w:fill="FFFFFF"/>
        </w:rPr>
        <w:tab/>
        <w:t>Approximately</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14,598</w:t>
      </w:r>
      <w:r w:rsidRPr="00E33B55">
        <w:rPr>
          <w:rFonts w:cs="Arial"/>
          <w:bCs/>
          <w:color w:val="000000"/>
          <w:shd w:val="clear" w:color="auto" w:fill="FFFFFF"/>
        </w:rPr>
        <w:tab/>
        <w:t>#2 AND #1</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Refined by: Databases: ( WOS ) AND Databases: ( WOS )</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Timespan=1995-2015</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xml:space="preserve">Search language=Auto  </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12</w:t>
      </w:r>
      <w:r w:rsidRPr="00E33B55">
        <w:rPr>
          <w:rFonts w:cs="Arial"/>
          <w:bCs/>
          <w:color w:val="000000"/>
          <w:shd w:val="clear" w:color="auto" w:fill="FFFFFF"/>
        </w:rPr>
        <w:tab/>
        <w:t>11</w:t>
      </w:r>
      <w:r w:rsidRPr="00E33B55">
        <w:rPr>
          <w:rFonts w:cs="Arial"/>
          <w:bCs/>
          <w:color w:val="000000"/>
          <w:shd w:val="clear" w:color="auto" w:fill="FFFFFF"/>
        </w:rPr>
        <w:tab/>
        <w:t>#9 AND #4</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Refined by: Databases: ( WOS ) AND DOCUMENT TYPES: ( CLINICAL TRIAL )</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Timespan=2013-2015</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xml:space="preserve">Search language=Auto  </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11</w:t>
      </w:r>
      <w:r w:rsidRPr="00E33B55">
        <w:rPr>
          <w:rFonts w:cs="Arial"/>
          <w:bCs/>
          <w:color w:val="000000"/>
          <w:shd w:val="clear" w:color="auto" w:fill="FFFFFF"/>
        </w:rPr>
        <w:tab/>
        <w:t>50</w:t>
      </w:r>
      <w:r w:rsidRPr="00E33B55">
        <w:rPr>
          <w:rFonts w:cs="Arial"/>
          <w:bCs/>
          <w:color w:val="000000"/>
          <w:shd w:val="clear" w:color="auto" w:fill="FFFFFF"/>
        </w:rPr>
        <w:tab/>
        <w:t>#9 AND #4</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Refined by: Databases: ( WOS )</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Timespan=2013-2015</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xml:space="preserve">Search language=Auto  </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10</w:t>
      </w:r>
      <w:r w:rsidRPr="00E33B55">
        <w:rPr>
          <w:rFonts w:cs="Arial"/>
          <w:bCs/>
          <w:color w:val="000000"/>
          <w:shd w:val="clear" w:color="auto" w:fill="FFFFFF"/>
        </w:rPr>
        <w:tab/>
        <w:t>50</w:t>
      </w:r>
      <w:r w:rsidRPr="00E33B55">
        <w:rPr>
          <w:rFonts w:cs="Arial"/>
          <w:bCs/>
          <w:color w:val="000000"/>
          <w:shd w:val="clear" w:color="auto" w:fill="FFFFFF"/>
        </w:rPr>
        <w:tab/>
        <w:t>#9 AND #4</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Timespan=2013-2015</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xml:space="preserve">Search language=Auto  </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9</w:t>
      </w:r>
      <w:r w:rsidRPr="00E33B55">
        <w:rPr>
          <w:rFonts w:cs="Arial"/>
          <w:bCs/>
          <w:color w:val="000000"/>
          <w:shd w:val="clear" w:color="auto" w:fill="FFFFFF"/>
        </w:rPr>
        <w:tab/>
        <w:t>Approximately</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113,246</w:t>
      </w:r>
      <w:r w:rsidRPr="00E33B55">
        <w:rPr>
          <w:rFonts w:cs="Arial"/>
          <w:bCs/>
          <w:color w:val="000000"/>
          <w:shd w:val="clear" w:color="auto" w:fill="FFFFFF"/>
        </w:rPr>
        <w:tab/>
        <w:t>TOPIC: (("randomized controlled trial" or randomized* or randomly or "controlled clinical trial")) OR TITLE: (("randomized controlled trial" or randomized* or randomly or "controlled clinical trial"))</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Timespan=2013-2015</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xml:space="preserve">Search language=Auto  </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8</w:t>
      </w:r>
      <w:r w:rsidRPr="00E33B55">
        <w:rPr>
          <w:rFonts w:cs="Arial"/>
          <w:bCs/>
          <w:color w:val="000000"/>
          <w:shd w:val="clear" w:color="auto" w:fill="FFFFFF"/>
        </w:rPr>
        <w:tab/>
        <w:t>53</w:t>
      </w:r>
      <w:r w:rsidRPr="00E33B55">
        <w:rPr>
          <w:rFonts w:cs="Arial"/>
          <w:bCs/>
          <w:color w:val="000000"/>
          <w:shd w:val="clear" w:color="auto" w:fill="FFFFFF"/>
        </w:rPr>
        <w:tab/>
        <w:t>#5 AND #4</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Refined by: Databases: ( WOS ) AND DOCUMENT TYPES: ( REVIEW )</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Timespan=1995-2015</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xml:space="preserve">Search language=Auto  </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7</w:t>
      </w:r>
      <w:r w:rsidRPr="00E33B55">
        <w:rPr>
          <w:rFonts w:cs="Arial"/>
          <w:bCs/>
          <w:color w:val="000000"/>
          <w:shd w:val="clear" w:color="auto" w:fill="FFFFFF"/>
        </w:rPr>
        <w:tab/>
        <w:t>68</w:t>
      </w:r>
      <w:r w:rsidRPr="00E33B55">
        <w:rPr>
          <w:rFonts w:cs="Arial"/>
          <w:bCs/>
          <w:color w:val="000000"/>
          <w:shd w:val="clear" w:color="auto" w:fill="FFFFFF"/>
        </w:rPr>
        <w:tab/>
        <w:t>#5 AND #4</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Refined by: Databases: ( WOS )</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Timespan=1995-2015</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xml:space="preserve">Search language=Auto  </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6</w:t>
      </w:r>
      <w:r w:rsidRPr="00E33B55">
        <w:rPr>
          <w:rFonts w:cs="Arial"/>
          <w:bCs/>
          <w:color w:val="000000"/>
          <w:shd w:val="clear" w:color="auto" w:fill="FFFFFF"/>
        </w:rPr>
        <w:tab/>
        <w:t>68</w:t>
      </w:r>
      <w:r w:rsidRPr="00E33B55">
        <w:rPr>
          <w:rFonts w:cs="Arial"/>
          <w:bCs/>
          <w:color w:val="000000"/>
          <w:shd w:val="clear" w:color="auto" w:fill="FFFFFF"/>
        </w:rPr>
        <w:tab/>
        <w:t>#5 AND #4</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Timespan=1995-2015</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xml:space="preserve">Search language=Auto  </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5</w:t>
      </w:r>
      <w:r w:rsidRPr="00E33B55">
        <w:rPr>
          <w:rFonts w:cs="Arial"/>
          <w:bCs/>
          <w:color w:val="000000"/>
          <w:shd w:val="clear" w:color="auto" w:fill="FFFFFF"/>
        </w:rPr>
        <w:tab/>
        <w:t>Approximately</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181,139</w:t>
      </w:r>
      <w:r w:rsidRPr="00E33B55">
        <w:rPr>
          <w:rFonts w:cs="Arial"/>
          <w:bCs/>
          <w:color w:val="000000"/>
          <w:shd w:val="clear" w:color="auto" w:fill="FFFFFF"/>
        </w:rPr>
        <w:tab/>
        <w:t>TOPIC: (systematic* review*) OR TITLE: (systematic* review*)</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Timespan=1995-2015</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xml:space="preserve">Search language=Auto  </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4</w:t>
      </w:r>
      <w:r w:rsidRPr="00E33B55">
        <w:rPr>
          <w:rFonts w:cs="Arial"/>
          <w:bCs/>
          <w:color w:val="000000"/>
          <w:shd w:val="clear" w:color="auto" w:fill="FFFFFF"/>
        </w:rPr>
        <w:tab/>
        <w:t>Approximately</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14,598</w:t>
      </w:r>
      <w:r w:rsidRPr="00E33B55">
        <w:rPr>
          <w:rFonts w:cs="Arial"/>
          <w:bCs/>
          <w:color w:val="000000"/>
          <w:shd w:val="clear" w:color="auto" w:fill="FFFFFF"/>
        </w:rPr>
        <w:tab/>
        <w:t>#2 AND #1</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Refined by: Databases: ( WOS )</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Timespan=1995-2015</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xml:space="preserve">Search language=Auto  </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3</w:t>
      </w:r>
      <w:r w:rsidRPr="00E33B55">
        <w:rPr>
          <w:rFonts w:cs="Arial"/>
          <w:bCs/>
          <w:color w:val="000000"/>
          <w:shd w:val="clear" w:color="auto" w:fill="FFFFFF"/>
        </w:rPr>
        <w:tab/>
        <w:t>Approximately</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15,657</w:t>
      </w:r>
      <w:r w:rsidRPr="00E33B55">
        <w:rPr>
          <w:rFonts w:cs="Arial"/>
          <w:bCs/>
          <w:color w:val="000000"/>
          <w:shd w:val="clear" w:color="auto" w:fill="FFFFFF"/>
        </w:rPr>
        <w:tab/>
        <w:t>#2 AND #1</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Timespan=1995-2015</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xml:space="preserve">Search language=Auto  </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2</w:t>
      </w:r>
      <w:r w:rsidRPr="00E33B55">
        <w:rPr>
          <w:rFonts w:cs="Arial"/>
          <w:bCs/>
          <w:color w:val="000000"/>
          <w:shd w:val="clear" w:color="auto" w:fill="FFFFFF"/>
        </w:rPr>
        <w:tab/>
        <w:t>Approximately</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lastRenderedPageBreak/>
        <w:t>266,458</w:t>
      </w:r>
      <w:r>
        <w:rPr>
          <w:rFonts w:cs="Arial"/>
          <w:bCs/>
          <w:color w:val="000000"/>
          <w:shd w:val="clear" w:color="auto" w:fill="FFFFFF"/>
        </w:rPr>
        <w:t xml:space="preserve">  </w:t>
      </w:r>
      <w:r w:rsidRPr="00E33B55">
        <w:rPr>
          <w:rFonts w:cs="Arial"/>
          <w:bCs/>
          <w:color w:val="000000"/>
          <w:shd w:val="clear" w:color="auto" w:fill="FFFFFF"/>
        </w:rPr>
        <w:t>TOPIC: (("dimethyl fumarate" OR dimethylfumarate OR teriflunomide OR interferon OR glatirameraceta* OR "glatiramer aceta" OR natalizumab OR alemtuzumab)) OR TITLE: (("dimethyl fumarate" OR dimethylfumarate OR teriflunomide OR interferon OR glatirameraceta* OR "glatiramer aceta" OR natalizumab OR alemtuzumab))</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Timespan=1995-2015</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xml:space="preserve">Search language=Auto  </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1</w:t>
      </w:r>
      <w:r w:rsidRPr="00E33B55">
        <w:rPr>
          <w:rFonts w:cs="Arial"/>
          <w:bCs/>
          <w:color w:val="000000"/>
          <w:shd w:val="clear" w:color="auto" w:fill="FFFFFF"/>
        </w:rPr>
        <w:tab/>
        <w:t>Approximately</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113,294</w:t>
      </w:r>
      <w:r>
        <w:rPr>
          <w:rFonts w:cs="Arial"/>
          <w:bCs/>
          <w:color w:val="000000"/>
          <w:shd w:val="clear" w:color="auto" w:fill="FFFFFF"/>
        </w:rPr>
        <w:t xml:space="preserve">  </w:t>
      </w:r>
      <w:r w:rsidRPr="00E33B55">
        <w:rPr>
          <w:rFonts w:cs="Arial"/>
          <w:bCs/>
          <w:color w:val="000000"/>
          <w:shd w:val="clear" w:color="auto" w:fill="FFFFFF"/>
        </w:rPr>
        <w:t>TOPIC: (("multiple sclerosis" OR "disseminated sclerosis" OR "sclerosis multiplex" OR "neuromyelitis optica")) OR TITLE: (("multiple sclerosis" OR "disseminated sclerosis" OR "sclerosis multiplex" OR "neuromyelitis optica"))</w:t>
      </w:r>
    </w:p>
    <w:p w:rsidR="00E33B55" w:rsidRP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Timespan=1995-2015</w:t>
      </w:r>
    </w:p>
    <w:p w:rsidR="00E33B55" w:rsidRDefault="00E33B55" w:rsidP="00E33B55">
      <w:pPr>
        <w:keepNext/>
        <w:keepLines/>
        <w:spacing w:after="0" w:line="240" w:lineRule="auto"/>
        <w:rPr>
          <w:rFonts w:cs="Arial"/>
          <w:bCs/>
          <w:color w:val="000000"/>
          <w:shd w:val="clear" w:color="auto" w:fill="FFFFFF"/>
        </w:rPr>
      </w:pPr>
      <w:r w:rsidRPr="00E33B55">
        <w:rPr>
          <w:rFonts w:cs="Arial"/>
          <w:bCs/>
          <w:color w:val="000000"/>
          <w:shd w:val="clear" w:color="auto" w:fill="FFFFFF"/>
        </w:rPr>
        <w:t xml:space="preserve">Search language=Auto  </w:t>
      </w:r>
    </w:p>
    <w:p w:rsidR="00ED1C66" w:rsidRPr="00F7606D" w:rsidRDefault="00ED1C66" w:rsidP="00E33B55">
      <w:pPr>
        <w:keepNext/>
        <w:keepLines/>
        <w:spacing w:after="0" w:line="240" w:lineRule="auto"/>
      </w:pPr>
      <w:r w:rsidRPr="00F7606D">
        <w:rPr>
          <w:b/>
        </w:rPr>
        <w:t>Database: PROSPERO</w:t>
      </w:r>
    </w:p>
    <w:p w:rsidR="00ED1C66" w:rsidRPr="00F7606D" w:rsidRDefault="00ED1C66" w:rsidP="00E33B55">
      <w:pPr>
        <w:keepNext/>
        <w:keepLines/>
        <w:spacing w:after="0" w:line="240" w:lineRule="auto"/>
      </w:pPr>
      <w:r w:rsidRPr="00F7606D">
        <w:t>Results: 1</w:t>
      </w:r>
    </w:p>
    <w:p w:rsidR="00ED1C66" w:rsidRPr="00F7606D" w:rsidRDefault="00ED1C66" w:rsidP="00E33B55">
      <w:pPr>
        <w:keepNext/>
        <w:keepLines/>
        <w:spacing w:after="0" w:line="240" w:lineRule="auto"/>
      </w:pPr>
      <w:r w:rsidRPr="00F7606D">
        <w:t xml:space="preserve">Search: </w:t>
      </w:r>
      <w:r w:rsidRPr="00F7606D">
        <w:tab/>
        <w:t xml:space="preserve">multiple sclerosis </w:t>
      </w:r>
    </w:p>
    <w:p w:rsidR="00ED1C66" w:rsidRPr="00F7606D" w:rsidRDefault="00ED1C66" w:rsidP="00E33B55">
      <w:pPr>
        <w:keepNext/>
        <w:keepLines/>
        <w:spacing w:after="0" w:line="240" w:lineRule="auto"/>
        <w:rPr>
          <w:b/>
        </w:rPr>
      </w:pPr>
      <w:r w:rsidRPr="00F7606D">
        <w:rPr>
          <w:b/>
        </w:rPr>
        <w:t>Database: SweMed+</w:t>
      </w:r>
    </w:p>
    <w:p w:rsidR="00ED1C66" w:rsidRPr="00F7606D" w:rsidRDefault="00ED1C66" w:rsidP="00E33B55">
      <w:pPr>
        <w:keepNext/>
        <w:keepLines/>
        <w:spacing w:after="0" w:line="240" w:lineRule="auto"/>
      </w:pPr>
      <w:r w:rsidRPr="00F7606D">
        <w:t xml:space="preserve">Results: 8 </w:t>
      </w:r>
    </w:p>
    <w:p w:rsidR="00ED1C66" w:rsidRPr="00F7606D" w:rsidRDefault="00ED1C66" w:rsidP="00E33B55">
      <w:pPr>
        <w:keepNext/>
        <w:keepLines/>
        <w:spacing w:after="0" w:line="240" w:lineRule="auto"/>
      </w:pPr>
      <w:r w:rsidRPr="00F7606D">
        <w:t xml:space="preserve">Search: </w:t>
      </w:r>
      <w:r w:rsidRPr="00F7606D">
        <w:tab/>
        <w:t>Multiple sclerosis AND</w:t>
      </w:r>
    </w:p>
    <w:p w:rsidR="00ED1C66" w:rsidRPr="00F7606D" w:rsidRDefault="00ED1C66" w:rsidP="00E33B55">
      <w:pPr>
        <w:keepNext/>
        <w:keepLines/>
        <w:spacing w:after="0" w:line="240" w:lineRule="auto"/>
      </w:pPr>
      <w:r w:rsidRPr="00F7606D">
        <w:t>("dimethyl fumarate" OR dimethylfumarate OR teriflunomide OR  interferon OR glatirameraceta* OR  "glatiramer aceta*" OR natalizumab OR alemtuzumab)</w:t>
      </w:r>
    </w:p>
    <w:p w:rsidR="00ED1C66" w:rsidRPr="00F7606D" w:rsidRDefault="00ED1C66" w:rsidP="00E33B55">
      <w:pPr>
        <w:keepNext/>
        <w:keepLines/>
        <w:spacing w:after="0" w:line="240" w:lineRule="auto"/>
        <w:rPr>
          <w:b/>
        </w:rPr>
      </w:pPr>
      <w:r w:rsidRPr="00F7606D">
        <w:rPr>
          <w:b/>
        </w:rPr>
        <w:t xml:space="preserve">Webpage: SBU </w:t>
      </w:r>
    </w:p>
    <w:p w:rsidR="00ED1C66" w:rsidRPr="00F7606D" w:rsidRDefault="00ED1C66" w:rsidP="00E33B55">
      <w:pPr>
        <w:keepNext/>
        <w:keepLines/>
        <w:spacing w:after="0" w:line="240" w:lineRule="auto"/>
      </w:pPr>
      <w:r w:rsidRPr="00F7606D">
        <w:t xml:space="preserve">Results: 0 </w:t>
      </w:r>
    </w:p>
    <w:p w:rsidR="00ED1C66" w:rsidRPr="00F7606D" w:rsidRDefault="00ED1C66" w:rsidP="00E33B55">
      <w:pPr>
        <w:keepNext/>
        <w:keepLines/>
        <w:spacing w:after="0" w:line="240" w:lineRule="auto"/>
      </w:pPr>
      <w:r w:rsidRPr="00F7606D">
        <w:t>Search: Multipel sckleros</w:t>
      </w:r>
    </w:p>
    <w:p w:rsidR="00ED1C66" w:rsidRPr="00F7606D" w:rsidRDefault="00ED1C66" w:rsidP="00E33B55">
      <w:pPr>
        <w:keepNext/>
        <w:keepLines/>
        <w:spacing w:after="0" w:line="240" w:lineRule="auto"/>
        <w:rPr>
          <w:b/>
        </w:rPr>
      </w:pPr>
      <w:r w:rsidRPr="00F7606D">
        <w:rPr>
          <w:b/>
        </w:rPr>
        <w:t>Webpage: Google scholar</w:t>
      </w:r>
    </w:p>
    <w:p w:rsidR="00ED1C66" w:rsidRPr="00F7606D" w:rsidRDefault="00ED1C66" w:rsidP="00E33B55">
      <w:pPr>
        <w:keepNext/>
        <w:keepLines/>
        <w:spacing w:after="0" w:line="240" w:lineRule="auto"/>
      </w:pPr>
      <w:r w:rsidRPr="00F7606D">
        <w:t>Results: 2</w:t>
      </w:r>
    </w:p>
    <w:p w:rsidR="00ED1C66" w:rsidRPr="00F7606D" w:rsidRDefault="00ED1C66" w:rsidP="00E33B55">
      <w:pPr>
        <w:keepNext/>
        <w:keepLines/>
        <w:spacing w:after="0" w:line="240" w:lineRule="auto"/>
      </w:pPr>
      <w:r w:rsidRPr="00F7606D">
        <w:t xml:space="preserve">Search: </w:t>
      </w:r>
    </w:p>
    <w:p w:rsidR="00ED1C66" w:rsidRPr="00F7606D" w:rsidRDefault="00ED1C66" w:rsidP="00E33B55">
      <w:pPr>
        <w:keepNext/>
        <w:keepLines/>
        <w:spacing w:after="0" w:line="240" w:lineRule="auto"/>
      </w:pPr>
      <w:r w:rsidRPr="00F7606D">
        <w:t>"Multiple sclerosis" AND name of the intervention drugs AND "technology assessment" AND allintitle</w:t>
      </w:r>
    </w:p>
    <w:p w:rsidR="00ED1C66" w:rsidRDefault="00ED1C66" w:rsidP="00E33B55">
      <w:pPr>
        <w:keepNext/>
        <w:keepLines/>
        <w:spacing w:after="0" w:line="240" w:lineRule="auto"/>
      </w:pPr>
      <w:r w:rsidRPr="00F7606D">
        <w:t>"Multiple sclerosis" AND name of the intervention drugs AND “systematic review" AND allintitle</w:t>
      </w:r>
    </w:p>
    <w:p w:rsidR="007658C4" w:rsidRDefault="007658C4" w:rsidP="00E33B55">
      <w:pPr>
        <w:keepNext/>
        <w:keepLines/>
        <w:spacing w:after="0" w:line="240" w:lineRule="auto"/>
      </w:pPr>
    </w:p>
    <w:p w:rsidR="007658C4" w:rsidRDefault="007658C4" w:rsidP="007F3BF7">
      <w:pPr>
        <w:pStyle w:val="20"/>
        <w:numPr>
          <w:ilvl w:val="0"/>
          <w:numId w:val="0"/>
        </w:numPr>
        <w:rPr>
          <w:rFonts w:ascii="Times New Roman" w:hAnsi="Times New Roman" w:cs="Times New Roman"/>
          <w:sz w:val="28"/>
        </w:rPr>
      </w:pPr>
      <w:r>
        <w:rPr>
          <w:rFonts w:ascii="Times New Roman" w:hAnsi="Times New Roman" w:cs="Times New Roman"/>
          <w:sz w:val="28"/>
        </w:rPr>
        <w:t>Supplementary material 2</w:t>
      </w:r>
      <w:r w:rsidRPr="00AE1D78">
        <w:rPr>
          <w:rFonts w:ascii="Times New Roman" w:hAnsi="Times New Roman" w:cs="Times New Roman"/>
          <w:sz w:val="28"/>
        </w:rPr>
        <w:t xml:space="preserve"> </w:t>
      </w:r>
      <w:r>
        <w:rPr>
          <w:rFonts w:ascii="Times New Roman" w:hAnsi="Times New Roman" w:cs="Times New Roman"/>
          <w:sz w:val="28"/>
        </w:rPr>
        <w:t>Protocol for the systematic review and the economic evaluation</w:t>
      </w:r>
    </w:p>
    <w:p w:rsidR="008D3713" w:rsidRDefault="008D3713" w:rsidP="008D3713">
      <w:pPr>
        <w:pStyle w:val="NormalBilledplassering"/>
        <w:rPr>
          <w:b/>
          <w:lang w:val="en-GB"/>
        </w:rPr>
      </w:pPr>
    </w:p>
    <w:p w:rsidR="006B637D" w:rsidRPr="008D3713" w:rsidRDefault="006B637D" w:rsidP="008D3713">
      <w:pPr>
        <w:pStyle w:val="NormalBilledplassering"/>
        <w:rPr>
          <w:b/>
          <w:lang w:val="en-GB"/>
        </w:rPr>
      </w:pPr>
      <w:r w:rsidRPr="008D3713">
        <w:rPr>
          <w:b/>
          <w:lang w:val="en-GB"/>
        </w:rPr>
        <w:t>Project plan for</w:t>
      </w:r>
    </w:p>
    <w:p w:rsidR="006B637D" w:rsidRPr="008D3713" w:rsidRDefault="006B637D" w:rsidP="008D3713">
      <w:pPr>
        <w:pStyle w:val="NormalBilledplassering"/>
        <w:rPr>
          <w:b/>
          <w:lang w:val="en-GB"/>
        </w:rPr>
      </w:pPr>
      <w:r w:rsidRPr="008D3713">
        <w:rPr>
          <w:b/>
          <w:lang w:val="en-GB"/>
        </w:rPr>
        <w:t>Health Technology Assessment of medicines used for multiple sclerosis</w:t>
      </w:r>
    </w:p>
    <w:tbl>
      <w:tblPr>
        <w:tblpPr w:leftFromText="181" w:rightFromText="181" w:vertAnchor="text" w:horzAnchor="margin" w:tblpY="341"/>
        <w:tblOverlap w:val="never"/>
        <w:tblW w:w="4761" w:type="pct"/>
        <w:tblBorders>
          <w:top w:val="single" w:sz="4" w:space="0" w:color="C0C0C0"/>
          <w:bottom w:val="single" w:sz="4" w:space="0" w:color="C0C0C0"/>
          <w:insideH w:val="single" w:sz="4" w:space="0" w:color="C0C0C0"/>
        </w:tblBorders>
        <w:tblCellMar>
          <w:top w:w="85" w:type="dxa"/>
          <w:left w:w="85" w:type="dxa"/>
          <w:bottom w:w="85" w:type="dxa"/>
          <w:right w:w="85" w:type="dxa"/>
        </w:tblCellMar>
        <w:tblLook w:val="00A0"/>
      </w:tblPr>
      <w:tblGrid>
        <w:gridCol w:w="3571"/>
        <w:gridCol w:w="5229"/>
      </w:tblGrid>
      <w:tr w:rsidR="006B637D" w:rsidRPr="00E85DD6" w:rsidTr="006B637D">
        <w:trPr>
          <w:trHeight w:val="255"/>
        </w:trPr>
        <w:tc>
          <w:tcPr>
            <w:tcW w:w="3635" w:type="dxa"/>
            <w:tcMar>
              <w:top w:w="57" w:type="dxa"/>
            </w:tcMar>
          </w:tcPr>
          <w:p w:rsidR="006B637D" w:rsidRPr="00E85DD6" w:rsidRDefault="006B637D" w:rsidP="006B637D">
            <w:pPr>
              <w:jc w:val="both"/>
              <w:rPr>
                <w:b/>
                <w:color w:val="808080"/>
              </w:rPr>
            </w:pPr>
            <w:r w:rsidRPr="00E85DD6">
              <w:rPr>
                <w:b/>
                <w:color w:val="808080"/>
              </w:rPr>
              <w:t xml:space="preserve">Prosjektnummer: </w:t>
            </w:r>
          </w:p>
        </w:tc>
        <w:tc>
          <w:tcPr>
            <w:tcW w:w="5380" w:type="dxa"/>
            <w:tcMar>
              <w:top w:w="57" w:type="dxa"/>
            </w:tcMar>
          </w:tcPr>
          <w:p w:rsidR="006B637D" w:rsidRPr="00E85DD6" w:rsidRDefault="006B637D" w:rsidP="006B637D">
            <w:pPr>
              <w:jc w:val="both"/>
            </w:pPr>
            <w:r>
              <w:t>1030</w:t>
            </w:r>
          </w:p>
        </w:tc>
      </w:tr>
      <w:tr w:rsidR="006B637D" w:rsidRPr="00E85DD6" w:rsidTr="006B637D">
        <w:trPr>
          <w:trHeight w:val="255"/>
        </w:trPr>
        <w:tc>
          <w:tcPr>
            <w:tcW w:w="3635" w:type="dxa"/>
            <w:tcMar>
              <w:top w:w="57" w:type="dxa"/>
            </w:tcMar>
          </w:tcPr>
          <w:p w:rsidR="006B637D" w:rsidRPr="006B637D" w:rsidRDefault="006B637D" w:rsidP="006B637D">
            <w:pPr>
              <w:jc w:val="both"/>
              <w:rPr>
                <w:b/>
                <w:color w:val="808080"/>
                <w:lang w:val="nb-NO"/>
              </w:rPr>
            </w:pPr>
            <w:r w:rsidRPr="006B637D">
              <w:rPr>
                <w:b/>
                <w:color w:val="808080"/>
                <w:lang w:val="nb-NO"/>
              </w:rPr>
              <w:t xml:space="preserve">Plan utarbeidet </w:t>
            </w:r>
            <w:r w:rsidRPr="006B637D">
              <w:rPr>
                <w:color w:val="808080"/>
                <w:lang w:val="nb-NO"/>
              </w:rPr>
              <w:t>(dd.mm.yyyy):</w:t>
            </w:r>
          </w:p>
        </w:tc>
        <w:tc>
          <w:tcPr>
            <w:tcW w:w="5380" w:type="dxa"/>
            <w:tcMar>
              <w:top w:w="57" w:type="dxa"/>
            </w:tcMar>
          </w:tcPr>
          <w:p w:rsidR="006B637D" w:rsidRPr="0085701F" w:rsidRDefault="008D3713" w:rsidP="006B637D">
            <w:pPr>
              <w:jc w:val="both"/>
            </w:pPr>
            <w:r w:rsidRPr="00DA73DE">
              <w:rPr>
                <w:lang w:val="nb-NO"/>
              </w:rPr>
              <w:t xml:space="preserve"> </w:t>
            </w:r>
            <w:r>
              <w:t xml:space="preserve">February </w:t>
            </w:r>
            <w:r w:rsidR="006B637D">
              <w:t>2015</w:t>
            </w:r>
          </w:p>
        </w:tc>
      </w:tr>
    </w:tbl>
    <w:p w:rsidR="006B637D" w:rsidRPr="0072176F" w:rsidRDefault="006B637D" w:rsidP="006B637D">
      <w:pPr>
        <w:jc w:val="both"/>
      </w:pPr>
    </w:p>
    <w:p w:rsidR="006B637D" w:rsidRPr="008D3713" w:rsidRDefault="006B637D" w:rsidP="008D3713">
      <w:pPr>
        <w:spacing w:after="0" w:line="480" w:lineRule="auto"/>
        <w:rPr>
          <w:rFonts w:ascii="Times New Roman" w:eastAsia="Times New Roman" w:hAnsi="Times New Roman" w:cs="Times New Roman"/>
          <w:b/>
          <w:sz w:val="24"/>
          <w:szCs w:val="24"/>
        </w:rPr>
      </w:pPr>
      <w:r w:rsidRPr="008D3713">
        <w:rPr>
          <w:rFonts w:ascii="Times New Roman" w:eastAsia="Times New Roman" w:hAnsi="Times New Roman" w:cs="Times New Roman"/>
          <w:b/>
          <w:sz w:val="24"/>
          <w:szCs w:val="24"/>
        </w:rPr>
        <w:t>Kort beskrivelse/sammendrag (norsk)</w:t>
      </w:r>
    </w:p>
    <w:p w:rsidR="006B637D" w:rsidRPr="006B637D" w:rsidRDefault="006B637D" w:rsidP="006B637D">
      <w:pPr>
        <w:jc w:val="both"/>
        <w:rPr>
          <w:lang w:val="nb-NO"/>
        </w:rPr>
      </w:pPr>
      <w:r w:rsidRPr="006B637D">
        <w:rPr>
          <w:lang w:val="nb-NO"/>
        </w:rPr>
        <w:t xml:space="preserve">Multippel sklerose er en sykdom som er forårsaket av skade på isolasjonslaget rundt nervecellene (myelin) i hjernen og ryggmargen. Når myelinet blir skadet hemmes nervesignalene. Forekomsten av multippel sklerose i Norge er blant de høyest rapporterte i verden. Sykdommen, som vanligvis starter rundt 30 års alder (fra 20-40 år), utvikler seg oftest gjennom ulike faser (f.eks. en relapserende-remitterende fase og en sekundær progressiv fase). De fleste pasienter med MS får etter hvert </w:t>
      </w:r>
      <w:r w:rsidRPr="006B637D">
        <w:rPr>
          <w:lang w:val="nb-NO"/>
        </w:rPr>
        <w:lastRenderedPageBreak/>
        <w:t>økende problemer med funksjoner som involverer motoriske, sensoriske, visuelle og autonome systemer. Legemidlene som brukes i dag kan ikke helbrede MS, men de er sykdomsmodifiserende. Det er imidlertid uklart hvilke av disse legemidlene som er mest effektive og kostnadseffektive. Denne fullstendige metodevurderingen tar sikte på å undersøke effekt og kostnadseffektivitet av legemidler som brukes for multippel sklerose i Norge.</w:t>
      </w:r>
    </w:p>
    <w:p w:rsidR="006B637D" w:rsidRPr="008D3713" w:rsidRDefault="006B637D" w:rsidP="008D3713">
      <w:pPr>
        <w:spacing w:after="0" w:line="480" w:lineRule="auto"/>
        <w:rPr>
          <w:rFonts w:ascii="Times New Roman" w:eastAsia="Times New Roman" w:hAnsi="Times New Roman" w:cs="Times New Roman"/>
          <w:b/>
          <w:sz w:val="24"/>
          <w:szCs w:val="24"/>
        </w:rPr>
      </w:pPr>
      <w:r w:rsidRPr="008D3713">
        <w:rPr>
          <w:rFonts w:ascii="Times New Roman" w:eastAsia="Times New Roman" w:hAnsi="Times New Roman" w:cs="Times New Roman"/>
          <w:b/>
          <w:sz w:val="24"/>
          <w:szCs w:val="24"/>
        </w:rPr>
        <w:t>Short description and summary (English)</w:t>
      </w:r>
    </w:p>
    <w:p w:rsidR="006B637D" w:rsidRPr="002A0520" w:rsidRDefault="006B637D" w:rsidP="006B637D">
      <w:pPr>
        <w:jc w:val="both"/>
        <w:rPr>
          <w:rFonts w:cs="Arial"/>
          <w:color w:val="000000"/>
          <w:lang w:val="en-US"/>
        </w:rPr>
      </w:pPr>
      <w:r>
        <w:rPr>
          <w:rFonts w:cs="Arial"/>
          <w:color w:val="000000"/>
          <w:lang w:val="en-US"/>
        </w:rPr>
        <w:t xml:space="preserve">Multiple sclerosis is a disease caused by damage to the protective coating around nerve cells (the myelin sheath). Such lesions slows down or stop nerve signals. </w:t>
      </w:r>
      <w:r>
        <w:t>Prevalence rate for multiple sclerosis in Norway is among the highest reported worldwide.</w:t>
      </w:r>
      <w:r w:rsidRPr="000F00AC">
        <w:t xml:space="preserve"> </w:t>
      </w:r>
      <w:r>
        <w:t xml:space="preserve">This disease, which usually starts around the age of 30 (range 20-40), most commonly evolves through different phases (e.g. a relapsing-remitting phase and a secondary progressive phase). Most patients experience increasing dysfunctions </w:t>
      </w:r>
      <w:r>
        <w:rPr>
          <w:rFonts w:cs="Arial"/>
          <w:color w:val="000000"/>
          <w:lang w:val="en-US"/>
        </w:rPr>
        <w:t xml:space="preserve">involving motor, sensory, visual, and autonomic systems. The medicines used today are disease-modifying drugs. It is, however, unclear which of these drugs are most effective and cost-effective. This health technology assessment aims at examining </w:t>
      </w:r>
      <w:r w:rsidRPr="002A0520">
        <w:t xml:space="preserve">the </w:t>
      </w:r>
      <w:r>
        <w:t xml:space="preserve">relative </w:t>
      </w:r>
      <w:r w:rsidRPr="002A0520">
        <w:t xml:space="preserve">effect and cost-effectiveness of </w:t>
      </w:r>
      <w:r>
        <w:t xml:space="preserve">the </w:t>
      </w:r>
      <w:r w:rsidRPr="002A0520">
        <w:t xml:space="preserve">medicines used for </w:t>
      </w:r>
      <w:r>
        <w:t>multiple sclerosis in Norway.</w:t>
      </w:r>
    </w:p>
    <w:p w:rsidR="006B637D" w:rsidRPr="00E92790" w:rsidRDefault="006B637D" w:rsidP="00265596"/>
    <w:tbl>
      <w:tblPr>
        <w:tblpPr w:leftFromText="181" w:rightFromText="181" w:vertAnchor="text" w:horzAnchor="margin" w:tblpY="341"/>
        <w:tblOverlap w:val="never"/>
        <w:tblW w:w="4761" w:type="pct"/>
        <w:tblBorders>
          <w:top w:val="single" w:sz="4" w:space="0" w:color="C0C0C0"/>
          <w:bottom w:val="single" w:sz="4" w:space="0" w:color="C0C0C0"/>
          <w:insideH w:val="single" w:sz="4" w:space="0" w:color="C0C0C0"/>
        </w:tblBorders>
        <w:tblCellMar>
          <w:top w:w="85" w:type="dxa"/>
          <w:left w:w="85" w:type="dxa"/>
          <w:bottom w:w="85" w:type="dxa"/>
          <w:right w:w="85" w:type="dxa"/>
        </w:tblCellMar>
        <w:tblLook w:val="00A0"/>
      </w:tblPr>
      <w:tblGrid>
        <w:gridCol w:w="3551"/>
        <w:gridCol w:w="5249"/>
      </w:tblGrid>
      <w:tr w:rsidR="006B637D" w:rsidRPr="000F00AC" w:rsidTr="006B637D">
        <w:trPr>
          <w:trHeight w:val="255"/>
        </w:trPr>
        <w:tc>
          <w:tcPr>
            <w:tcW w:w="9015" w:type="dxa"/>
            <w:gridSpan w:val="2"/>
            <w:tcMar>
              <w:top w:w="57" w:type="dxa"/>
            </w:tcMar>
          </w:tcPr>
          <w:p w:rsidR="006B637D" w:rsidRPr="002307D6" w:rsidRDefault="006B637D" w:rsidP="006B637D">
            <w:pPr>
              <w:jc w:val="both"/>
            </w:pPr>
            <w:r w:rsidRPr="002307D6">
              <w:rPr>
                <w:b/>
              </w:rPr>
              <w:t>Project category and commissioner</w:t>
            </w:r>
          </w:p>
        </w:tc>
      </w:tr>
      <w:tr w:rsidR="006B637D" w:rsidRPr="000F00AC" w:rsidTr="006B637D">
        <w:trPr>
          <w:trHeight w:val="255"/>
        </w:trPr>
        <w:tc>
          <w:tcPr>
            <w:tcW w:w="3635" w:type="dxa"/>
            <w:tcMar>
              <w:top w:w="57" w:type="dxa"/>
            </w:tcMar>
          </w:tcPr>
          <w:p w:rsidR="006B637D" w:rsidRPr="002307D6" w:rsidRDefault="006B637D" w:rsidP="006B637D">
            <w:pPr>
              <w:jc w:val="both"/>
              <w:rPr>
                <w:b/>
                <w:color w:val="808080"/>
              </w:rPr>
            </w:pPr>
            <w:r w:rsidRPr="002307D6">
              <w:rPr>
                <w:b/>
                <w:color w:val="808080"/>
              </w:rPr>
              <w:t xml:space="preserve">Product (program area): </w:t>
            </w:r>
          </w:p>
        </w:tc>
        <w:tc>
          <w:tcPr>
            <w:tcW w:w="5380" w:type="dxa"/>
            <w:tcMar>
              <w:top w:w="57" w:type="dxa"/>
            </w:tcMar>
          </w:tcPr>
          <w:p w:rsidR="006B637D" w:rsidRPr="000F00AC" w:rsidRDefault="006B637D" w:rsidP="006B637D">
            <w:pPr>
              <w:jc w:val="both"/>
              <w:rPr>
                <w:lang w:val="en-US"/>
              </w:rPr>
            </w:pPr>
            <w:r w:rsidRPr="000F00AC">
              <w:rPr>
                <w:lang w:val="en-US"/>
              </w:rPr>
              <w:t>Health Technology Assessment</w:t>
            </w:r>
          </w:p>
        </w:tc>
      </w:tr>
      <w:tr w:rsidR="006B637D" w:rsidRPr="00C16836" w:rsidTr="006B637D">
        <w:trPr>
          <w:trHeight w:val="255"/>
        </w:trPr>
        <w:tc>
          <w:tcPr>
            <w:tcW w:w="3635" w:type="dxa"/>
            <w:tcMar>
              <w:top w:w="57" w:type="dxa"/>
            </w:tcMar>
          </w:tcPr>
          <w:p w:rsidR="006B637D" w:rsidRPr="002307D6" w:rsidRDefault="006B637D" w:rsidP="006B637D">
            <w:pPr>
              <w:jc w:val="both"/>
              <w:rPr>
                <w:b/>
                <w:color w:val="808080"/>
              </w:rPr>
            </w:pPr>
            <w:r w:rsidRPr="002307D6">
              <w:rPr>
                <w:b/>
                <w:color w:val="808080"/>
              </w:rPr>
              <w:t>Thematic area</w:t>
            </w:r>
            <w:r>
              <w:rPr>
                <w:b/>
                <w:color w:val="808080"/>
              </w:rPr>
              <w:t>s</w:t>
            </w:r>
            <w:r w:rsidRPr="002307D6">
              <w:rPr>
                <w:b/>
                <w:color w:val="808080"/>
              </w:rPr>
              <w:t xml:space="preserve">: </w:t>
            </w:r>
          </w:p>
        </w:tc>
        <w:tc>
          <w:tcPr>
            <w:tcW w:w="5380" w:type="dxa"/>
            <w:tcMar>
              <w:top w:w="57" w:type="dxa"/>
            </w:tcMar>
          </w:tcPr>
          <w:p w:rsidR="006B637D" w:rsidRDefault="006B637D" w:rsidP="006B637D">
            <w:pPr>
              <w:jc w:val="both"/>
            </w:pPr>
            <w:r>
              <w:t xml:space="preserve">Pharmaceuticals, </w:t>
            </w:r>
          </w:p>
          <w:p w:rsidR="006B637D" w:rsidRPr="00BC3A03" w:rsidRDefault="006B637D" w:rsidP="006B637D">
            <w:pPr>
              <w:jc w:val="both"/>
              <w:rPr>
                <w:lang w:val="en-US"/>
              </w:rPr>
            </w:pPr>
            <w:r>
              <w:t>Health economic evaluation</w:t>
            </w:r>
            <w:r w:rsidDel="004F2385">
              <w:rPr>
                <w:lang w:val="en-US"/>
              </w:rPr>
              <w:t xml:space="preserve"> </w:t>
            </w:r>
          </w:p>
        </w:tc>
      </w:tr>
      <w:tr w:rsidR="006B637D" w:rsidRPr="00BE0FBC" w:rsidTr="006B637D">
        <w:trPr>
          <w:trHeight w:val="255"/>
        </w:trPr>
        <w:tc>
          <w:tcPr>
            <w:tcW w:w="3635" w:type="dxa"/>
            <w:tcMar>
              <w:top w:w="57" w:type="dxa"/>
            </w:tcMar>
          </w:tcPr>
          <w:p w:rsidR="006B637D" w:rsidRPr="002307D6" w:rsidRDefault="006B637D" w:rsidP="006B637D">
            <w:pPr>
              <w:jc w:val="both"/>
              <w:rPr>
                <w:b/>
                <w:color w:val="808080"/>
              </w:rPr>
            </w:pPr>
            <w:r w:rsidRPr="002307D6">
              <w:rPr>
                <w:b/>
                <w:color w:val="808080"/>
              </w:rPr>
              <w:t>Commissioner</w:t>
            </w:r>
          </w:p>
        </w:tc>
        <w:tc>
          <w:tcPr>
            <w:tcW w:w="5380" w:type="dxa"/>
            <w:tcMar>
              <w:top w:w="57" w:type="dxa"/>
            </w:tcMar>
          </w:tcPr>
          <w:p w:rsidR="006B637D" w:rsidRPr="0004291E" w:rsidRDefault="006B637D" w:rsidP="006B637D">
            <w:pPr>
              <w:jc w:val="both"/>
            </w:pPr>
            <w:r>
              <w:t>RHF-Bestillerforum</w:t>
            </w:r>
          </w:p>
        </w:tc>
      </w:tr>
      <w:tr w:rsidR="006B637D" w:rsidRPr="00402B6B" w:rsidTr="006B637D">
        <w:trPr>
          <w:trHeight w:val="255"/>
        </w:trPr>
        <w:tc>
          <w:tcPr>
            <w:tcW w:w="9015" w:type="dxa"/>
            <w:gridSpan w:val="2"/>
            <w:tcMar>
              <w:top w:w="57" w:type="dxa"/>
            </w:tcMar>
          </w:tcPr>
          <w:p w:rsidR="006B637D" w:rsidRPr="002307D6" w:rsidRDefault="006B637D" w:rsidP="006B637D">
            <w:pPr>
              <w:jc w:val="both"/>
            </w:pPr>
            <w:r w:rsidRPr="002307D6">
              <w:rPr>
                <w:b/>
              </w:rPr>
              <w:t>Project management and participants</w:t>
            </w:r>
          </w:p>
        </w:tc>
      </w:tr>
      <w:tr w:rsidR="006B637D" w:rsidRPr="00402B6B" w:rsidTr="006B637D">
        <w:trPr>
          <w:trHeight w:val="255"/>
        </w:trPr>
        <w:tc>
          <w:tcPr>
            <w:tcW w:w="3635" w:type="dxa"/>
            <w:tcMar>
              <w:top w:w="57" w:type="dxa"/>
            </w:tcMar>
          </w:tcPr>
          <w:p w:rsidR="006B637D" w:rsidRPr="002307D6" w:rsidRDefault="006B637D" w:rsidP="006B637D">
            <w:pPr>
              <w:jc w:val="both"/>
              <w:rPr>
                <w:b/>
              </w:rPr>
            </w:pPr>
            <w:r w:rsidRPr="002307D6">
              <w:rPr>
                <w:b/>
                <w:color w:val="808080"/>
              </w:rPr>
              <w:t xml:space="preserve">Project </w:t>
            </w:r>
            <w:r>
              <w:rPr>
                <w:b/>
                <w:color w:val="808080"/>
              </w:rPr>
              <w:t>manager</w:t>
            </w:r>
            <w:r w:rsidRPr="002307D6">
              <w:rPr>
                <w:b/>
                <w:color w:val="808080"/>
              </w:rPr>
              <w:t>:</w:t>
            </w:r>
            <w:r w:rsidRPr="002307D6">
              <w:rPr>
                <w:b/>
              </w:rPr>
              <w:t xml:space="preserve"> </w:t>
            </w:r>
          </w:p>
        </w:tc>
        <w:tc>
          <w:tcPr>
            <w:tcW w:w="5380" w:type="dxa"/>
            <w:tcMar>
              <w:top w:w="57" w:type="dxa"/>
            </w:tcMar>
          </w:tcPr>
          <w:p w:rsidR="006B637D" w:rsidRPr="00402B6B" w:rsidRDefault="006B637D" w:rsidP="006B637D">
            <w:pPr>
              <w:jc w:val="both"/>
              <w:rPr>
                <w:lang w:val="en-US"/>
              </w:rPr>
            </w:pPr>
            <w:r>
              <w:rPr>
                <w:lang w:val="en-US"/>
              </w:rPr>
              <w:t>Elisabeth Couto</w:t>
            </w:r>
          </w:p>
        </w:tc>
      </w:tr>
      <w:tr w:rsidR="006B637D" w:rsidRPr="00402B6B" w:rsidTr="006B637D">
        <w:trPr>
          <w:trHeight w:val="255"/>
        </w:trPr>
        <w:tc>
          <w:tcPr>
            <w:tcW w:w="3635" w:type="dxa"/>
            <w:tcMar>
              <w:top w:w="57" w:type="dxa"/>
            </w:tcMar>
          </w:tcPr>
          <w:p w:rsidR="006B637D" w:rsidRPr="002307D6" w:rsidRDefault="006B637D" w:rsidP="006B637D">
            <w:pPr>
              <w:jc w:val="both"/>
              <w:rPr>
                <w:b/>
              </w:rPr>
            </w:pPr>
            <w:r w:rsidRPr="002307D6">
              <w:rPr>
                <w:b/>
                <w:color w:val="808080"/>
              </w:rPr>
              <w:t>Responsible for the project</w:t>
            </w:r>
            <w:r w:rsidRPr="002307D6">
              <w:rPr>
                <w:color w:val="808080"/>
              </w:rPr>
              <w:t>:</w:t>
            </w:r>
            <w:r w:rsidRPr="002307D6">
              <w:rPr>
                <w:b/>
              </w:rPr>
              <w:t xml:space="preserve"> </w:t>
            </w:r>
          </w:p>
        </w:tc>
        <w:tc>
          <w:tcPr>
            <w:tcW w:w="5380" w:type="dxa"/>
            <w:tcMar>
              <w:top w:w="57" w:type="dxa"/>
            </w:tcMar>
          </w:tcPr>
          <w:p w:rsidR="006B637D" w:rsidRPr="00402B6B" w:rsidRDefault="006B637D" w:rsidP="006B637D">
            <w:pPr>
              <w:jc w:val="both"/>
              <w:rPr>
                <w:lang w:val="en-US"/>
              </w:rPr>
            </w:pPr>
            <w:r w:rsidRPr="00402B6B">
              <w:rPr>
                <w:lang w:val="en-US"/>
              </w:rPr>
              <w:t>Marianne Klemp</w:t>
            </w:r>
            <w:r>
              <w:rPr>
                <w:lang w:val="en-US"/>
              </w:rPr>
              <w:t xml:space="preserve"> </w:t>
            </w:r>
          </w:p>
        </w:tc>
      </w:tr>
      <w:tr w:rsidR="006B637D" w:rsidRPr="00DA73DE" w:rsidTr="006B637D">
        <w:trPr>
          <w:trHeight w:val="255"/>
        </w:trPr>
        <w:tc>
          <w:tcPr>
            <w:tcW w:w="3635" w:type="dxa"/>
            <w:tcMar>
              <w:top w:w="57" w:type="dxa"/>
            </w:tcMar>
          </w:tcPr>
          <w:p w:rsidR="006B637D" w:rsidRPr="002307D6" w:rsidRDefault="006B637D" w:rsidP="006B637D">
            <w:pPr>
              <w:jc w:val="both"/>
              <w:rPr>
                <w:b/>
              </w:rPr>
            </w:pPr>
            <w:r w:rsidRPr="002307D6">
              <w:rPr>
                <w:b/>
                <w:color w:val="808080"/>
              </w:rPr>
              <w:t>Internal project participants:</w:t>
            </w:r>
            <w:r w:rsidRPr="002307D6">
              <w:rPr>
                <w:b/>
              </w:rPr>
              <w:t xml:space="preserve"> </w:t>
            </w:r>
          </w:p>
        </w:tc>
        <w:tc>
          <w:tcPr>
            <w:tcW w:w="5380" w:type="dxa"/>
            <w:tcMar>
              <w:top w:w="57" w:type="dxa"/>
            </w:tcMar>
          </w:tcPr>
          <w:p w:rsidR="006B637D" w:rsidRPr="006B637D" w:rsidRDefault="006B637D" w:rsidP="006B637D">
            <w:pPr>
              <w:pStyle w:val="1"/>
              <w:shd w:val="clear" w:color="auto" w:fill="FFFFFF"/>
              <w:spacing w:before="136" w:after="68" w:line="240" w:lineRule="auto"/>
              <w:contextualSpacing/>
              <w:jc w:val="both"/>
              <w:rPr>
                <w:rFonts w:ascii="Georgia" w:hAnsi="Georgia" w:cs="Arial"/>
                <w:b w:val="0"/>
                <w:bCs w:val="0"/>
                <w:color w:val="333026"/>
                <w:sz w:val="22"/>
                <w:szCs w:val="22"/>
                <w:lang w:val="nb-NO"/>
              </w:rPr>
            </w:pPr>
            <w:r w:rsidRPr="006B637D">
              <w:rPr>
                <w:rFonts w:ascii="Georgia" w:hAnsi="Georgia" w:cs="Arial"/>
                <w:b w:val="0"/>
                <w:color w:val="333026"/>
                <w:sz w:val="22"/>
                <w:szCs w:val="22"/>
                <w:lang w:val="nb-NO"/>
              </w:rPr>
              <w:t>Vida Hamidi</w:t>
            </w:r>
          </w:p>
          <w:p w:rsidR="006B637D" w:rsidRPr="006B637D" w:rsidRDefault="006B637D" w:rsidP="006B637D">
            <w:pPr>
              <w:pStyle w:val="1"/>
              <w:shd w:val="clear" w:color="auto" w:fill="FFFFFF"/>
              <w:spacing w:before="136" w:after="68" w:line="240" w:lineRule="auto"/>
              <w:contextualSpacing/>
              <w:jc w:val="both"/>
              <w:rPr>
                <w:rFonts w:ascii="Georgia" w:hAnsi="Georgia" w:cs="Arial"/>
                <w:b w:val="0"/>
                <w:color w:val="333026"/>
                <w:sz w:val="22"/>
                <w:szCs w:val="22"/>
                <w:lang w:val="nb-NO"/>
              </w:rPr>
            </w:pPr>
            <w:r w:rsidRPr="006B637D">
              <w:rPr>
                <w:rFonts w:ascii="Georgia" w:hAnsi="Georgia" w:cs="Arial"/>
                <w:b w:val="0"/>
                <w:color w:val="333026"/>
                <w:sz w:val="22"/>
                <w:szCs w:val="22"/>
                <w:lang w:val="nb-NO"/>
              </w:rPr>
              <w:t>Ingrid Harboe</w:t>
            </w:r>
          </w:p>
          <w:p w:rsidR="006B637D" w:rsidRPr="006B637D" w:rsidRDefault="006B637D" w:rsidP="006B637D">
            <w:pPr>
              <w:spacing w:line="240" w:lineRule="auto"/>
              <w:contextualSpacing/>
              <w:rPr>
                <w:lang w:val="nb-NO"/>
              </w:rPr>
            </w:pPr>
            <w:r w:rsidRPr="006B637D">
              <w:rPr>
                <w:lang w:val="nb-NO"/>
              </w:rPr>
              <w:t>Tove Ringerike</w:t>
            </w:r>
          </w:p>
          <w:p w:rsidR="006B637D" w:rsidRPr="006B637D" w:rsidRDefault="006B637D" w:rsidP="006B637D">
            <w:pPr>
              <w:spacing w:line="240" w:lineRule="auto"/>
              <w:contextualSpacing/>
              <w:rPr>
                <w:lang w:val="nb-NO"/>
              </w:rPr>
            </w:pPr>
            <w:r w:rsidRPr="006B637D">
              <w:rPr>
                <w:lang w:val="nb-NO"/>
              </w:rPr>
              <w:t>Einar Bjørner Torkilseng</w:t>
            </w:r>
          </w:p>
          <w:p w:rsidR="006B637D" w:rsidRPr="006B637D" w:rsidRDefault="006B637D" w:rsidP="006B637D">
            <w:pPr>
              <w:spacing w:line="240" w:lineRule="auto"/>
              <w:contextualSpacing/>
              <w:rPr>
                <w:lang w:val="nb-NO"/>
              </w:rPr>
            </w:pPr>
            <w:r w:rsidRPr="006B637D">
              <w:rPr>
                <w:lang w:val="nb-NO"/>
              </w:rPr>
              <w:t>Jan Odgaard-Jensen</w:t>
            </w:r>
          </w:p>
        </w:tc>
      </w:tr>
      <w:tr w:rsidR="006B637D" w:rsidRPr="00DA73DE" w:rsidTr="006B637D">
        <w:trPr>
          <w:trHeight w:val="255"/>
        </w:trPr>
        <w:tc>
          <w:tcPr>
            <w:tcW w:w="3635" w:type="dxa"/>
            <w:tcMar>
              <w:top w:w="57" w:type="dxa"/>
            </w:tcMar>
          </w:tcPr>
          <w:p w:rsidR="006B637D" w:rsidRPr="002307D6" w:rsidRDefault="006B637D" w:rsidP="006B637D">
            <w:pPr>
              <w:jc w:val="both"/>
              <w:rPr>
                <w:b/>
                <w:color w:val="808080"/>
              </w:rPr>
            </w:pPr>
            <w:r>
              <w:rPr>
                <w:b/>
                <w:color w:val="808080"/>
              </w:rPr>
              <w:t>External</w:t>
            </w:r>
            <w:r w:rsidRPr="002307D6">
              <w:rPr>
                <w:b/>
                <w:color w:val="808080"/>
              </w:rPr>
              <w:t xml:space="preserve"> project participants</w:t>
            </w:r>
            <w:r>
              <w:rPr>
                <w:b/>
                <w:color w:val="808080"/>
              </w:rPr>
              <w:t>:</w:t>
            </w:r>
          </w:p>
        </w:tc>
        <w:tc>
          <w:tcPr>
            <w:tcW w:w="5380" w:type="dxa"/>
            <w:tcMar>
              <w:top w:w="57" w:type="dxa"/>
            </w:tcMar>
          </w:tcPr>
          <w:p w:rsidR="006B637D" w:rsidRPr="006B637D" w:rsidRDefault="006B637D" w:rsidP="006B637D">
            <w:pPr>
              <w:rPr>
                <w:lang w:val="nb-NO"/>
              </w:rPr>
            </w:pPr>
            <w:r w:rsidRPr="006B637D">
              <w:rPr>
                <w:lang w:val="nb-NO"/>
              </w:rPr>
              <w:t>Elisabeth Gulowsen Celius (</w:t>
            </w:r>
            <w:r w:rsidRPr="006B637D">
              <w:rPr>
                <w:rFonts w:cs="Arial"/>
                <w:lang w:val="nb-NO"/>
              </w:rPr>
              <w:t>Oslo Universitetssykehus</w:t>
            </w:r>
            <w:r w:rsidRPr="006B637D">
              <w:rPr>
                <w:lang w:val="nb-NO"/>
              </w:rPr>
              <w:t>)</w:t>
            </w:r>
          </w:p>
        </w:tc>
      </w:tr>
      <w:tr w:rsidR="006B637D" w:rsidRPr="00435858" w:rsidTr="006B637D">
        <w:trPr>
          <w:trHeight w:val="255"/>
        </w:trPr>
        <w:tc>
          <w:tcPr>
            <w:tcW w:w="3635" w:type="dxa"/>
            <w:tcMar>
              <w:top w:w="57" w:type="dxa"/>
            </w:tcMar>
          </w:tcPr>
          <w:p w:rsidR="006B637D" w:rsidRPr="002307D6" w:rsidRDefault="006B637D" w:rsidP="006B637D">
            <w:pPr>
              <w:jc w:val="both"/>
              <w:rPr>
                <w:b/>
                <w:color w:val="808080"/>
              </w:rPr>
            </w:pPr>
            <w:r w:rsidRPr="002307D6">
              <w:rPr>
                <w:b/>
                <w:color w:val="808080"/>
              </w:rPr>
              <w:lastRenderedPageBreak/>
              <w:t>Plan for replacement by project participants' absence :</w:t>
            </w:r>
          </w:p>
        </w:tc>
        <w:tc>
          <w:tcPr>
            <w:tcW w:w="5380" w:type="dxa"/>
            <w:tcMar>
              <w:top w:w="57" w:type="dxa"/>
            </w:tcMar>
          </w:tcPr>
          <w:p w:rsidR="006B637D" w:rsidRDefault="006B637D" w:rsidP="006B637D">
            <w:pPr>
              <w:jc w:val="both"/>
              <w:rPr>
                <w:lang w:val="en-US"/>
              </w:rPr>
            </w:pPr>
            <w:r>
              <w:rPr>
                <w:lang w:val="en-US"/>
              </w:rPr>
              <w:t xml:space="preserve">Replacements will be decided by the person </w:t>
            </w:r>
          </w:p>
          <w:p w:rsidR="006B637D" w:rsidRPr="003F3343" w:rsidRDefault="006B637D" w:rsidP="006B637D">
            <w:pPr>
              <w:jc w:val="both"/>
              <w:rPr>
                <w:lang w:val="en-US"/>
              </w:rPr>
            </w:pPr>
            <w:r>
              <w:rPr>
                <w:lang w:val="en-US"/>
              </w:rPr>
              <w:t xml:space="preserve">responsible for the project </w:t>
            </w:r>
          </w:p>
        </w:tc>
      </w:tr>
      <w:tr w:rsidR="006B637D" w:rsidRPr="005336DB" w:rsidTr="006B637D">
        <w:trPr>
          <w:trHeight w:val="255"/>
        </w:trPr>
        <w:tc>
          <w:tcPr>
            <w:tcW w:w="3635" w:type="dxa"/>
            <w:tcMar>
              <w:top w:w="57" w:type="dxa"/>
            </w:tcMar>
          </w:tcPr>
          <w:p w:rsidR="006B637D" w:rsidRPr="002307D6" w:rsidRDefault="006B637D" w:rsidP="006B637D">
            <w:pPr>
              <w:jc w:val="both"/>
              <w:rPr>
                <w:b/>
                <w:color w:val="808080"/>
              </w:rPr>
            </w:pPr>
            <w:r>
              <w:rPr>
                <w:b/>
                <w:color w:val="808080"/>
              </w:rPr>
              <w:t>Internal reviewers:</w:t>
            </w:r>
          </w:p>
        </w:tc>
        <w:tc>
          <w:tcPr>
            <w:tcW w:w="5380" w:type="dxa"/>
            <w:tcMar>
              <w:top w:w="57" w:type="dxa"/>
            </w:tcMar>
          </w:tcPr>
          <w:p w:rsidR="006B637D" w:rsidRPr="00792F97" w:rsidRDefault="006B637D" w:rsidP="006B637D">
            <w:pPr>
              <w:jc w:val="both"/>
              <w:rPr>
                <w:lang w:val="fr-FR"/>
              </w:rPr>
            </w:pPr>
            <w:r>
              <w:rPr>
                <w:lang w:val="fr-FR"/>
              </w:rPr>
              <w:t>Enrique Jimé</w:t>
            </w:r>
            <w:r w:rsidRPr="00792F97">
              <w:rPr>
                <w:lang w:val="fr-FR"/>
              </w:rPr>
              <w:t>nez</w:t>
            </w:r>
          </w:p>
          <w:p w:rsidR="006B637D" w:rsidRPr="00792F97" w:rsidRDefault="006B637D" w:rsidP="006B637D">
            <w:pPr>
              <w:jc w:val="both"/>
              <w:rPr>
                <w:highlight w:val="yellow"/>
                <w:lang w:val="fr-FR"/>
              </w:rPr>
            </w:pPr>
            <w:r w:rsidRPr="00792F97">
              <w:rPr>
                <w:lang w:val="fr-FR"/>
              </w:rPr>
              <w:t>Signe Agnes Flottorp</w:t>
            </w:r>
          </w:p>
        </w:tc>
      </w:tr>
      <w:tr w:rsidR="006B637D" w:rsidRPr="00DA73DE" w:rsidTr="006B637D">
        <w:trPr>
          <w:trHeight w:val="255"/>
        </w:trPr>
        <w:tc>
          <w:tcPr>
            <w:tcW w:w="3635" w:type="dxa"/>
            <w:tcMar>
              <w:top w:w="57" w:type="dxa"/>
            </w:tcMar>
          </w:tcPr>
          <w:p w:rsidR="006B637D" w:rsidRPr="002307D6" w:rsidRDefault="006B637D" w:rsidP="006B637D">
            <w:pPr>
              <w:jc w:val="both"/>
              <w:rPr>
                <w:b/>
                <w:color w:val="808080"/>
              </w:rPr>
            </w:pPr>
            <w:r>
              <w:rPr>
                <w:b/>
                <w:color w:val="808080"/>
              </w:rPr>
              <w:t>External reviewers:</w:t>
            </w:r>
          </w:p>
        </w:tc>
        <w:tc>
          <w:tcPr>
            <w:tcW w:w="5380" w:type="dxa"/>
            <w:shd w:val="clear" w:color="auto" w:fill="auto"/>
            <w:tcMar>
              <w:top w:w="57" w:type="dxa"/>
            </w:tcMar>
          </w:tcPr>
          <w:p w:rsidR="006B637D" w:rsidRPr="006B637D" w:rsidRDefault="006B637D" w:rsidP="006B637D">
            <w:pPr>
              <w:rPr>
                <w:lang w:val="nb-NO"/>
              </w:rPr>
            </w:pPr>
            <w:r w:rsidRPr="006B637D">
              <w:rPr>
                <w:lang w:val="nb-NO"/>
              </w:rPr>
              <w:t>Torbjørn Wisløff (</w:t>
            </w:r>
            <w:r w:rsidRPr="006B637D">
              <w:rPr>
                <w:rFonts w:cs="Arial"/>
                <w:lang w:val="nb-NO"/>
              </w:rPr>
              <w:t>Universitet i Oslo, Oslo Universitetssykehus</w:t>
            </w:r>
            <w:r w:rsidRPr="006B637D">
              <w:rPr>
                <w:lang w:val="nb-NO"/>
              </w:rPr>
              <w:t>)</w:t>
            </w:r>
          </w:p>
          <w:p w:rsidR="006B637D" w:rsidRPr="006B637D" w:rsidRDefault="006B637D" w:rsidP="006B637D">
            <w:pPr>
              <w:rPr>
                <w:highlight w:val="yellow"/>
                <w:lang w:val="nb-NO"/>
              </w:rPr>
            </w:pPr>
            <w:r w:rsidRPr="006B637D">
              <w:rPr>
                <w:lang w:val="nb-NO"/>
              </w:rPr>
              <w:t>Rune Midgard (Helse Møre og Romsdal, Molde sjukehus)</w:t>
            </w:r>
          </w:p>
        </w:tc>
      </w:tr>
    </w:tbl>
    <w:p w:rsidR="008D3713" w:rsidRPr="00DA73DE" w:rsidRDefault="008D3713" w:rsidP="008D3713">
      <w:pPr>
        <w:spacing w:after="0" w:line="480" w:lineRule="auto"/>
        <w:rPr>
          <w:rFonts w:ascii="Times New Roman" w:eastAsia="Times New Roman" w:hAnsi="Times New Roman" w:cs="Times New Roman"/>
          <w:b/>
          <w:sz w:val="24"/>
          <w:szCs w:val="24"/>
          <w:lang w:val="nb-NO"/>
        </w:rPr>
      </w:pPr>
    </w:p>
    <w:p w:rsidR="006B637D" w:rsidRPr="008D3713" w:rsidRDefault="006B637D" w:rsidP="008D3713">
      <w:pPr>
        <w:spacing w:after="0" w:line="480" w:lineRule="auto"/>
        <w:rPr>
          <w:rFonts w:ascii="Times New Roman" w:eastAsia="Times New Roman" w:hAnsi="Times New Roman" w:cs="Times New Roman"/>
          <w:b/>
          <w:sz w:val="24"/>
          <w:szCs w:val="24"/>
        </w:rPr>
      </w:pPr>
      <w:r w:rsidRPr="008D3713">
        <w:rPr>
          <w:rFonts w:ascii="Times New Roman" w:eastAsia="Times New Roman" w:hAnsi="Times New Roman" w:cs="Times New Roman"/>
          <w:b/>
          <w:sz w:val="24"/>
          <w:szCs w:val="24"/>
        </w:rPr>
        <w:t>Mandate</w:t>
      </w:r>
    </w:p>
    <w:p w:rsidR="006B637D" w:rsidRPr="00A33B15" w:rsidRDefault="006B637D" w:rsidP="006B637D">
      <w:pPr>
        <w:jc w:val="both"/>
      </w:pPr>
      <w:r>
        <w:rPr>
          <w:rFonts w:cs="Arial"/>
          <w:color w:val="222222"/>
        </w:rPr>
        <w:t>The National system for managed introduction of new methods in specialist health services (</w:t>
      </w:r>
      <w:r w:rsidRPr="002866DF">
        <w:rPr>
          <w:rFonts w:cs="Arial"/>
          <w:i/>
          <w:color w:val="222222"/>
        </w:rPr>
        <w:t xml:space="preserve">Nasjonalt system for innføring av nye metoder </w:t>
      </w:r>
      <w:r>
        <w:rPr>
          <w:rFonts w:cs="Arial"/>
          <w:i/>
          <w:color w:val="222222"/>
        </w:rPr>
        <w:t>i</w:t>
      </w:r>
      <w:r w:rsidRPr="002866DF">
        <w:rPr>
          <w:rFonts w:cs="Arial"/>
          <w:i/>
          <w:color w:val="222222"/>
        </w:rPr>
        <w:t xml:space="preserve"> spesialisthels</w:t>
      </w:r>
      <w:r>
        <w:rPr>
          <w:rFonts w:cs="Arial"/>
          <w:i/>
          <w:color w:val="222222"/>
        </w:rPr>
        <w:t>e</w:t>
      </w:r>
      <w:r w:rsidRPr="002866DF">
        <w:rPr>
          <w:rFonts w:cs="Arial"/>
          <w:i/>
          <w:color w:val="222222"/>
        </w:rPr>
        <w:t>tjenesten</w:t>
      </w:r>
      <w:r>
        <w:rPr>
          <w:rFonts w:cs="Arial"/>
          <w:color w:val="222222"/>
        </w:rPr>
        <w:t xml:space="preserve">) ordered </w:t>
      </w:r>
      <w:r>
        <w:t>a comprehensive health technology assessment (HTA)</w:t>
      </w:r>
      <w:r w:rsidRPr="00A33B15">
        <w:t xml:space="preserve"> to </w:t>
      </w:r>
      <w:r>
        <w:t xml:space="preserve">compare </w:t>
      </w:r>
      <w:r w:rsidRPr="00347570">
        <w:rPr>
          <w:lang w:val="en-US"/>
        </w:rPr>
        <w:t>efficacy and c</w:t>
      </w:r>
      <w:r>
        <w:rPr>
          <w:lang w:val="en-US"/>
        </w:rPr>
        <w:t xml:space="preserve">ost-effectiveness of </w:t>
      </w:r>
      <w:r>
        <w:t xml:space="preserve">different disease modifying medicines in use for multiple sclerosis (MS). </w:t>
      </w:r>
    </w:p>
    <w:p w:rsidR="006B637D" w:rsidRPr="008D3713" w:rsidRDefault="006B637D" w:rsidP="008D3713">
      <w:pPr>
        <w:spacing w:after="0" w:line="480" w:lineRule="auto"/>
        <w:rPr>
          <w:rFonts w:ascii="Times New Roman" w:eastAsia="Times New Roman" w:hAnsi="Times New Roman" w:cs="Times New Roman"/>
          <w:b/>
          <w:sz w:val="24"/>
          <w:szCs w:val="24"/>
        </w:rPr>
      </w:pPr>
      <w:r w:rsidRPr="008D3713">
        <w:rPr>
          <w:rFonts w:ascii="Times New Roman" w:eastAsia="Times New Roman" w:hAnsi="Times New Roman" w:cs="Times New Roman"/>
          <w:b/>
          <w:sz w:val="24"/>
          <w:szCs w:val="24"/>
        </w:rPr>
        <w:t>Goal</w:t>
      </w:r>
    </w:p>
    <w:p w:rsidR="006B637D" w:rsidRPr="00517045" w:rsidRDefault="006B637D" w:rsidP="006B637D">
      <w:pPr>
        <w:rPr>
          <w:i/>
        </w:rPr>
      </w:pPr>
      <w:r w:rsidRPr="00517045">
        <w:rPr>
          <w:i/>
        </w:rPr>
        <w:t>Overall objective</w:t>
      </w:r>
    </w:p>
    <w:p w:rsidR="006B637D" w:rsidRPr="008611EF" w:rsidRDefault="006B637D" w:rsidP="00616EEC">
      <w:pPr>
        <w:pStyle w:val="afff6"/>
        <w:numPr>
          <w:ilvl w:val="0"/>
          <w:numId w:val="60"/>
        </w:numPr>
        <w:tabs>
          <w:tab w:val="clear" w:pos="510"/>
        </w:tabs>
        <w:spacing w:line="326" w:lineRule="exact"/>
        <w:contextualSpacing/>
        <w:jc w:val="both"/>
        <w:rPr>
          <w:lang w:val="en-GB"/>
        </w:rPr>
      </w:pPr>
      <w:r w:rsidRPr="001F7A4D">
        <w:rPr>
          <w:lang w:val="en-GB"/>
        </w:rPr>
        <w:t xml:space="preserve">To </w:t>
      </w:r>
      <w:r>
        <w:rPr>
          <w:lang w:val="en-GB"/>
        </w:rPr>
        <w:t>compare the effect and cost-effectiveness of the disease modifying medicines used for MS in Norway.</w:t>
      </w:r>
    </w:p>
    <w:p w:rsidR="006B637D" w:rsidRDefault="006B637D" w:rsidP="006B637D"/>
    <w:p w:rsidR="006B637D" w:rsidRPr="00517045" w:rsidRDefault="006B637D" w:rsidP="006B637D">
      <w:pPr>
        <w:rPr>
          <w:i/>
        </w:rPr>
      </w:pPr>
      <w:r w:rsidRPr="00517045">
        <w:rPr>
          <w:i/>
        </w:rPr>
        <w:t>Specific objectives</w:t>
      </w:r>
    </w:p>
    <w:p w:rsidR="006B637D" w:rsidRDefault="006B637D" w:rsidP="00616EEC">
      <w:pPr>
        <w:pStyle w:val="afff6"/>
        <w:numPr>
          <w:ilvl w:val="0"/>
          <w:numId w:val="60"/>
        </w:numPr>
        <w:tabs>
          <w:tab w:val="clear" w:pos="510"/>
        </w:tabs>
        <w:spacing w:line="326" w:lineRule="exact"/>
        <w:contextualSpacing/>
        <w:jc w:val="both"/>
        <w:rPr>
          <w:lang w:val="en-GB"/>
        </w:rPr>
      </w:pPr>
      <w:r>
        <w:rPr>
          <w:lang w:val="en-GB"/>
        </w:rPr>
        <w:t>To conduct a systematic review to assess the efficacy and safety of the different disease modifying medicines used for MS and outcomes related to this disease.</w:t>
      </w:r>
    </w:p>
    <w:p w:rsidR="006B637D" w:rsidRPr="001B141E" w:rsidRDefault="006B637D" w:rsidP="00616EEC">
      <w:pPr>
        <w:pStyle w:val="afff6"/>
        <w:numPr>
          <w:ilvl w:val="0"/>
          <w:numId w:val="60"/>
        </w:numPr>
        <w:tabs>
          <w:tab w:val="clear" w:pos="510"/>
        </w:tabs>
        <w:spacing w:line="326" w:lineRule="exact"/>
        <w:contextualSpacing/>
        <w:jc w:val="both"/>
        <w:rPr>
          <w:lang w:val="en-GB"/>
        </w:rPr>
      </w:pPr>
      <w:r w:rsidRPr="001B141E">
        <w:rPr>
          <w:lang w:val="en-GB"/>
        </w:rPr>
        <w:t xml:space="preserve">To carry out a health economic </w:t>
      </w:r>
      <w:r>
        <w:rPr>
          <w:lang w:val="en-GB"/>
        </w:rPr>
        <w:t>evaluation</w:t>
      </w:r>
      <w:r w:rsidRPr="001B141E">
        <w:rPr>
          <w:lang w:val="en-GB"/>
        </w:rPr>
        <w:t xml:space="preserve"> ascertaining cost-effectiveness of the disease modifying medicines used for MS. </w:t>
      </w:r>
    </w:p>
    <w:p w:rsidR="006B637D" w:rsidRDefault="006B637D" w:rsidP="006B637D"/>
    <w:p w:rsidR="006B637D" w:rsidRPr="008D3713" w:rsidRDefault="006B637D" w:rsidP="008D3713">
      <w:pPr>
        <w:spacing w:after="0" w:line="480" w:lineRule="auto"/>
        <w:rPr>
          <w:rFonts w:ascii="Times New Roman" w:eastAsia="Times New Roman" w:hAnsi="Times New Roman" w:cs="Times New Roman"/>
          <w:b/>
          <w:sz w:val="24"/>
          <w:szCs w:val="24"/>
        </w:rPr>
      </w:pPr>
      <w:r w:rsidRPr="008D3713">
        <w:rPr>
          <w:rFonts w:ascii="Times New Roman" w:eastAsia="Times New Roman" w:hAnsi="Times New Roman" w:cs="Times New Roman"/>
          <w:b/>
          <w:sz w:val="24"/>
          <w:szCs w:val="24"/>
        </w:rPr>
        <w:t>Background</w:t>
      </w:r>
    </w:p>
    <w:p w:rsidR="006B637D" w:rsidRDefault="006B637D" w:rsidP="006B637D">
      <w:pPr>
        <w:pStyle w:val="afff1"/>
        <w:shd w:val="clear" w:color="auto" w:fill="FFFFFF"/>
        <w:spacing w:before="166" w:after="166"/>
        <w:jc w:val="both"/>
        <w:rPr>
          <w:rFonts w:cs="Arial"/>
          <w:color w:val="000000"/>
          <w:sz w:val="22"/>
          <w:szCs w:val="22"/>
          <w:lang w:val="en-US"/>
        </w:rPr>
      </w:pPr>
      <w:r>
        <w:rPr>
          <w:rFonts w:cs="Arial"/>
          <w:color w:val="000000"/>
          <w:sz w:val="22"/>
          <w:szCs w:val="22"/>
          <w:lang w:val="en-US"/>
        </w:rPr>
        <w:t xml:space="preserve">MS is caused by damage to the protective coating around nerve cells (the myelin sheath). This damage, primarily due to an inflammation disorder of the brain and spinal cord, slows down or stop nerve signals </w:t>
      </w:r>
      <w:r w:rsidR="00204467">
        <w:rPr>
          <w:rFonts w:cs="Arial"/>
          <w:color w:val="000000"/>
          <w:sz w:val="22"/>
          <w:szCs w:val="22"/>
          <w:lang w:val="en-US"/>
        </w:rPr>
        <w:fldChar w:fldCharType="begin"/>
      </w:r>
      <w:r>
        <w:rPr>
          <w:rFonts w:cs="Arial"/>
          <w:color w:val="000000"/>
          <w:sz w:val="22"/>
          <w:szCs w:val="22"/>
          <w:lang w:val="en-US"/>
        </w:rPr>
        <w:instrText xml:space="preserve"> ADDIN EN.CITE &lt;EndNote&gt;&lt;Cite&gt;&lt;Author&gt;Compston&lt;/Author&gt;&lt;Year&gt;2008&lt;/Year&gt;&lt;RecNum&gt;3&lt;/RecNum&gt;&lt;DisplayText&gt;(1, 2)&lt;/DisplayText&gt;&lt;record&gt;&lt;rec-number&gt;3&lt;/rec-number&gt;&lt;foreign-keys&gt;&lt;key app="EN" db-id="5v92t2t9i9wzrpexw2ox0eso5t9xfrxtd0sv" timestamp="1423753487"&gt;3&lt;/key&gt;&lt;/foreign-keys&gt;&lt;ref-type name="Journal Article"&gt;17&lt;/ref-type&gt;&lt;contributors&gt;&lt;authors&gt;&lt;author&gt;Compston, A.&lt;/author&gt;&lt;author&gt;Coles, A.&lt;/author&gt;&lt;/authors&gt;&lt;/contributors&gt;&lt;titles&gt;&lt;title&gt;Multiple sclerosis&lt;/title&gt;&lt;secondary-title&gt;Lancet.&lt;/secondary-title&gt;&lt;/titles&gt;&lt;periodical&gt;&lt;full-title&gt;Lancet.&lt;/full-title&gt;&lt;/periodical&gt;&lt;pages&gt;1502-17. doi: 10.1016/S0140-6736(08)61620-7.&lt;/pages&gt;&lt;volume&gt;372&lt;/volume&gt;&lt;number&gt;9648&lt;/number&gt;&lt;keywords&gt;&lt;keyword&gt;Disease Progression&lt;/keyword&gt;&lt;keyword&gt;Female&lt;/keyword&gt;&lt;keyword&gt;Genetics, Population&lt;/keyword&gt;&lt;keyword&gt;Humans&lt;/keyword&gt;&lt;keyword&gt;Male&lt;/keyword&gt;&lt;keyword&gt;Multiple Sclerosis/diagnosis/etiology/*physiopathology&lt;/keyword&gt;&lt;keyword&gt;Prevalence&lt;/keyword&gt;&lt;/keywords&gt;&lt;dates&gt;&lt;year&gt;2008&lt;/year&gt;&lt;pub-dates&gt;&lt;date&gt;Oct 25&lt;/date&gt;&lt;/pub-dates&gt;&lt;/dates&gt;&lt;isbn&gt;1474-547X (Electronic)&amp;#xD;0140-6736 (Linking)&lt;/isbn&gt;&lt;work-type&gt;Research Support, Non-U.S. Gov&amp;apos;t&lt;/work-type&gt;&lt;urls&gt;&lt;/urls&gt;&lt;/record&gt;&lt;/Cite&gt;&lt;Cite ExcludeAuth="1" ExcludeYear="1"&gt;&lt;RecNum&gt;1&lt;/RecNum&gt;&lt;record&gt;&lt;rec-number&gt;1&lt;/rec-number&gt;&lt;foreign-keys&gt;&lt;key app="EN" db-id="5v92t2t9i9wzrpexw2ox0eso5t9xfrxtd0sv" timestamp="1423753309"&gt;1&lt;/key&gt;&lt;/foreign-keys&gt;&lt;ref-type name="Web Page"&gt;12&lt;/ref-type&gt;&lt;contributors&gt;&lt;/contributors&gt;&lt;titles&gt;&lt;title&gt;http://www.ncbi.nlm.nih.gov/pubmedhealth/PMH0001747/&lt;/title&gt;&lt;/titles&gt;&lt;number&gt;12/02/2015&lt;/number&gt;&lt;dates&gt;&lt;/dates&gt;&lt;urls&gt;&lt;/urls&gt;&lt;/record&gt;&lt;/Cite&gt;&lt;/EndNote&gt;</w:instrText>
      </w:r>
      <w:r w:rsidR="00204467">
        <w:rPr>
          <w:rFonts w:cs="Arial"/>
          <w:color w:val="000000"/>
          <w:sz w:val="22"/>
          <w:szCs w:val="22"/>
          <w:lang w:val="en-US"/>
        </w:rPr>
        <w:fldChar w:fldCharType="separate"/>
      </w:r>
      <w:r>
        <w:rPr>
          <w:rFonts w:cs="Arial"/>
          <w:noProof/>
          <w:color w:val="000000"/>
          <w:sz w:val="22"/>
          <w:szCs w:val="22"/>
          <w:lang w:val="en-US"/>
        </w:rPr>
        <w:t>(</w:t>
      </w:r>
      <w:hyperlink w:anchor="_ENREF_1" w:tooltip="Compston, 2008 #3" w:history="1">
        <w:r>
          <w:rPr>
            <w:rFonts w:cs="Arial"/>
            <w:noProof/>
            <w:color w:val="000000"/>
            <w:sz w:val="22"/>
            <w:szCs w:val="22"/>
            <w:lang w:val="en-US"/>
          </w:rPr>
          <w:t>1</w:t>
        </w:r>
      </w:hyperlink>
      <w:r>
        <w:rPr>
          <w:rFonts w:cs="Arial"/>
          <w:noProof/>
          <w:color w:val="000000"/>
          <w:sz w:val="22"/>
          <w:szCs w:val="22"/>
          <w:lang w:val="en-US"/>
        </w:rPr>
        <w:t xml:space="preserve">, </w:t>
      </w:r>
      <w:hyperlink w:anchor="_ENREF_2" w:tooltip=",  #1" w:history="1">
        <w:r>
          <w:rPr>
            <w:rFonts w:cs="Arial"/>
            <w:noProof/>
            <w:color w:val="000000"/>
            <w:sz w:val="22"/>
            <w:szCs w:val="22"/>
            <w:lang w:val="en-US"/>
          </w:rPr>
          <w:t>2</w:t>
        </w:r>
      </w:hyperlink>
      <w:r>
        <w:rPr>
          <w:rFonts w:cs="Arial"/>
          <w:noProof/>
          <w:color w:val="000000"/>
          <w:sz w:val="22"/>
          <w:szCs w:val="22"/>
          <w:lang w:val="en-US"/>
        </w:rPr>
        <w:t>)</w:t>
      </w:r>
      <w:r w:rsidR="00204467">
        <w:rPr>
          <w:rFonts w:cs="Arial"/>
          <w:color w:val="000000"/>
          <w:sz w:val="22"/>
          <w:szCs w:val="22"/>
          <w:lang w:val="en-US"/>
        </w:rPr>
        <w:fldChar w:fldCharType="end"/>
      </w:r>
      <w:r>
        <w:rPr>
          <w:rFonts w:cs="Arial"/>
          <w:color w:val="000000"/>
          <w:sz w:val="22"/>
          <w:szCs w:val="22"/>
          <w:lang w:val="en-US"/>
        </w:rPr>
        <w:t xml:space="preserve">. This can occur along any area of the brain, optic nerve, and spinal cord </w:t>
      </w:r>
      <w:r w:rsidR="00204467">
        <w:rPr>
          <w:rFonts w:cs="Arial"/>
          <w:color w:val="000000"/>
          <w:sz w:val="22"/>
          <w:szCs w:val="22"/>
          <w:lang w:val="en-US"/>
        </w:rPr>
        <w:fldChar w:fldCharType="begin"/>
      </w:r>
      <w:r>
        <w:rPr>
          <w:rFonts w:cs="Arial"/>
          <w:color w:val="000000"/>
          <w:sz w:val="22"/>
          <w:szCs w:val="22"/>
          <w:lang w:val="en-US"/>
        </w:rPr>
        <w:instrText xml:space="preserve"> ADDIN EN.CITE &lt;EndNote&gt;&lt;Cite ExcludeAuth="1" ExcludeYear="1"&gt;&lt;RecNum&gt;1&lt;/RecNum&gt;&lt;DisplayText&gt;(2)&lt;/DisplayText&gt;&lt;record&gt;&lt;rec-number&gt;1&lt;/rec-number&gt;&lt;foreign-keys&gt;&lt;key app="EN" db-id="5v92t2t9i9wzrpexw2ox0eso5t9xfrxtd0sv" timestamp="1423753309"&gt;1&lt;/key&gt;&lt;/foreign-keys&gt;&lt;ref-type name="Web Page"&gt;12&lt;/ref-type&gt;&lt;contributors&gt;&lt;/contributors&gt;&lt;titles&gt;&lt;title&gt;http://www.ncbi.nlm.nih.gov/pubmedhealth/PMH0001747/&lt;/title&gt;&lt;/titles&gt;&lt;number&gt;12/02/2015&lt;/number&gt;&lt;dates&gt;&lt;/dates&gt;&lt;urls&gt;&lt;/urls&gt;&lt;/record&gt;&lt;/Cite&gt;&lt;/EndNote&gt;</w:instrText>
      </w:r>
      <w:r w:rsidR="00204467">
        <w:rPr>
          <w:rFonts w:cs="Arial"/>
          <w:color w:val="000000"/>
          <w:sz w:val="22"/>
          <w:szCs w:val="22"/>
          <w:lang w:val="en-US"/>
        </w:rPr>
        <w:fldChar w:fldCharType="separate"/>
      </w:r>
      <w:r>
        <w:rPr>
          <w:rFonts w:cs="Arial"/>
          <w:noProof/>
          <w:color w:val="000000"/>
          <w:sz w:val="22"/>
          <w:szCs w:val="22"/>
          <w:lang w:val="en-US"/>
        </w:rPr>
        <w:t>(</w:t>
      </w:r>
      <w:hyperlink w:anchor="_ENREF_2" w:tooltip=",  #1" w:history="1">
        <w:r>
          <w:rPr>
            <w:rFonts w:cs="Arial"/>
            <w:noProof/>
            <w:color w:val="000000"/>
            <w:sz w:val="22"/>
            <w:szCs w:val="22"/>
            <w:lang w:val="en-US"/>
          </w:rPr>
          <w:t>2</w:t>
        </w:r>
      </w:hyperlink>
      <w:r>
        <w:rPr>
          <w:rFonts w:cs="Arial"/>
          <w:noProof/>
          <w:color w:val="000000"/>
          <w:sz w:val="22"/>
          <w:szCs w:val="22"/>
          <w:lang w:val="en-US"/>
        </w:rPr>
        <w:t>)</w:t>
      </w:r>
      <w:r w:rsidR="00204467">
        <w:rPr>
          <w:rFonts w:cs="Arial"/>
          <w:color w:val="000000"/>
          <w:sz w:val="22"/>
          <w:szCs w:val="22"/>
          <w:lang w:val="en-US"/>
        </w:rPr>
        <w:fldChar w:fldCharType="end"/>
      </w:r>
      <w:r>
        <w:rPr>
          <w:rFonts w:cs="Arial"/>
          <w:color w:val="000000"/>
          <w:sz w:val="22"/>
          <w:szCs w:val="22"/>
          <w:lang w:val="en-US"/>
        </w:rPr>
        <w:t xml:space="preserve">. There are many symptoms and signs of the disease </w:t>
      </w:r>
      <w:r w:rsidR="00204467">
        <w:rPr>
          <w:rFonts w:cs="Arial"/>
          <w:color w:val="000000"/>
          <w:sz w:val="22"/>
          <w:szCs w:val="22"/>
          <w:lang w:val="en-US"/>
        </w:rPr>
        <w:fldChar w:fldCharType="begin"/>
      </w:r>
      <w:r>
        <w:rPr>
          <w:rFonts w:cs="Arial"/>
          <w:color w:val="000000"/>
          <w:sz w:val="22"/>
          <w:szCs w:val="22"/>
          <w:lang w:val="en-US"/>
        </w:rPr>
        <w:instrText xml:space="preserve"> ADDIN EN.CITE &lt;EndNote&gt;&lt;Cite&gt;&lt;Author&gt;Compston&lt;/Author&gt;&lt;Year&gt;2008&lt;/Year&gt;&lt;RecNum&gt;3&lt;/RecNum&gt;&lt;DisplayText&gt;(1)&lt;/DisplayText&gt;&lt;record&gt;&lt;rec-number&gt;3&lt;/rec-number&gt;&lt;foreign-keys&gt;&lt;key app="EN" db-id="5v92t2t9i9wzrpexw2ox0eso5t9xfrxtd0sv" timestamp="1423753487"&gt;3&lt;/key&gt;&lt;/foreign-keys&gt;&lt;ref-type name="Journal Article"&gt;17&lt;/ref-type&gt;&lt;contributors&gt;&lt;authors&gt;&lt;author&gt;Compston, A.&lt;/author&gt;&lt;author&gt;Coles, A.&lt;/author&gt;&lt;/authors&gt;&lt;/contributors&gt;&lt;titles&gt;&lt;title&gt;Multiple sclerosis&lt;/title&gt;&lt;secondary-title&gt;Lancet.&lt;/secondary-title&gt;&lt;/titles&gt;&lt;periodical&gt;&lt;full-title&gt;Lancet.&lt;/full-title&gt;&lt;/periodical&gt;&lt;pages&gt;1502-17. doi: 10.1016/S0140-6736(08)61620-7.&lt;/pages&gt;&lt;volume&gt;372&lt;/volume&gt;&lt;number&gt;9648&lt;/number&gt;&lt;keywords&gt;&lt;keyword&gt;Disease Progression&lt;/keyword&gt;&lt;keyword&gt;Female&lt;/keyword&gt;&lt;keyword&gt;Genetics, Population&lt;/keyword&gt;&lt;keyword&gt;Humans&lt;/keyword&gt;&lt;keyword&gt;Male&lt;/keyword&gt;&lt;keyword&gt;Multiple Sclerosis/diagnosis/etiology/*physiopathology&lt;/keyword&gt;&lt;keyword&gt;Prevalence&lt;/keyword&gt;&lt;/keywords&gt;&lt;dates&gt;&lt;year&gt;2008&lt;/year&gt;&lt;pub-dates&gt;&lt;date&gt;Oct 25&lt;/date&gt;&lt;/pub-dates&gt;&lt;/dates&gt;&lt;isbn&gt;1474-547X (Electronic)&amp;#xD;0140-6736 (Linking)&lt;/isbn&gt;&lt;work-type&gt;Research Support, Non-U.S. Gov&amp;apos;t&lt;/work-type&gt;&lt;urls&gt;&lt;/urls&gt;&lt;/record&gt;&lt;/Cite&gt;&lt;/EndNote&gt;</w:instrText>
      </w:r>
      <w:r w:rsidR="00204467">
        <w:rPr>
          <w:rFonts w:cs="Arial"/>
          <w:color w:val="000000"/>
          <w:sz w:val="22"/>
          <w:szCs w:val="22"/>
          <w:lang w:val="en-US"/>
        </w:rPr>
        <w:fldChar w:fldCharType="separate"/>
      </w:r>
      <w:r>
        <w:rPr>
          <w:rFonts w:cs="Arial"/>
          <w:noProof/>
          <w:color w:val="000000"/>
          <w:sz w:val="22"/>
          <w:szCs w:val="22"/>
          <w:lang w:val="en-US"/>
        </w:rPr>
        <w:t>(</w:t>
      </w:r>
      <w:hyperlink w:anchor="_ENREF_1" w:tooltip="Compston, 2008 #3" w:history="1">
        <w:r>
          <w:rPr>
            <w:rFonts w:cs="Arial"/>
            <w:noProof/>
            <w:color w:val="000000"/>
            <w:sz w:val="22"/>
            <w:szCs w:val="22"/>
            <w:lang w:val="en-US"/>
          </w:rPr>
          <w:t>1</w:t>
        </w:r>
      </w:hyperlink>
      <w:r>
        <w:rPr>
          <w:rFonts w:cs="Arial"/>
          <w:noProof/>
          <w:color w:val="000000"/>
          <w:sz w:val="22"/>
          <w:szCs w:val="22"/>
          <w:lang w:val="en-US"/>
        </w:rPr>
        <w:t>)</w:t>
      </w:r>
      <w:r w:rsidR="00204467">
        <w:rPr>
          <w:rFonts w:cs="Arial"/>
          <w:color w:val="000000"/>
          <w:sz w:val="22"/>
          <w:szCs w:val="22"/>
          <w:lang w:val="en-US"/>
        </w:rPr>
        <w:fldChar w:fldCharType="end"/>
      </w:r>
      <w:r>
        <w:rPr>
          <w:rFonts w:cs="Arial"/>
          <w:color w:val="000000"/>
          <w:sz w:val="22"/>
          <w:szCs w:val="22"/>
          <w:lang w:val="en-US"/>
        </w:rPr>
        <w:t xml:space="preserve">. Some indicate the involvement of motor, sensory, visual, and autonomic systems </w:t>
      </w:r>
      <w:r w:rsidR="00204467">
        <w:rPr>
          <w:rFonts w:cs="Arial"/>
          <w:color w:val="000000"/>
          <w:sz w:val="22"/>
          <w:szCs w:val="22"/>
          <w:lang w:val="en-US"/>
        </w:rPr>
        <w:fldChar w:fldCharType="begin"/>
      </w:r>
      <w:r>
        <w:rPr>
          <w:rFonts w:cs="Arial"/>
          <w:color w:val="000000"/>
          <w:sz w:val="22"/>
          <w:szCs w:val="22"/>
          <w:lang w:val="en-US"/>
        </w:rPr>
        <w:instrText xml:space="preserve"> ADDIN EN.CITE &lt;EndNote&gt;&lt;Cite&gt;&lt;Author&gt;Compston&lt;/Author&gt;&lt;Year&gt;2008&lt;/Year&gt;&lt;RecNum&gt;3&lt;/RecNum&gt;&lt;DisplayText&gt;(1)&lt;/DisplayText&gt;&lt;record&gt;&lt;rec-number&gt;3&lt;/rec-number&gt;&lt;foreign-keys&gt;&lt;key app="EN" db-id="5v92t2t9i9wzrpexw2ox0eso5t9xfrxtd0sv" timestamp="1423753487"&gt;3&lt;/key&gt;&lt;/foreign-keys&gt;&lt;ref-type name="Journal Article"&gt;17&lt;/ref-type&gt;&lt;contributors&gt;&lt;authors&gt;&lt;author&gt;Compston, A.&lt;/author&gt;&lt;author&gt;Coles, A.&lt;/author&gt;&lt;/authors&gt;&lt;/contributors&gt;&lt;titles&gt;&lt;title&gt;Multiple sclerosis&lt;/title&gt;&lt;secondary-title&gt;Lancet.&lt;/secondary-title&gt;&lt;/titles&gt;&lt;periodical&gt;&lt;full-title&gt;Lancet.&lt;/full-title&gt;&lt;/periodical&gt;&lt;pages&gt;1502-17. doi: 10.1016/S0140-6736(08)61620-7.&lt;/pages&gt;&lt;volume&gt;372&lt;/volume&gt;&lt;number&gt;9648&lt;/number&gt;&lt;keywords&gt;&lt;keyword&gt;Disease Progression&lt;/keyword&gt;&lt;keyword&gt;Female&lt;/keyword&gt;&lt;keyword&gt;Genetics, Population&lt;/keyword&gt;&lt;keyword&gt;Humans&lt;/keyword&gt;&lt;keyword&gt;Male&lt;/keyword&gt;&lt;keyword&gt;Multiple Sclerosis/diagnosis/etiology/*physiopathology&lt;/keyword&gt;&lt;keyword&gt;Prevalence&lt;/keyword&gt;&lt;/keywords&gt;&lt;dates&gt;&lt;year&gt;2008&lt;/year&gt;&lt;pub-dates&gt;&lt;date&gt;Oct 25&lt;/date&gt;&lt;/pub-dates&gt;&lt;/dates&gt;&lt;isbn&gt;1474-547X (Electronic)&amp;#xD;0140-6736 (Linking)&lt;/isbn&gt;&lt;work-type&gt;Research Support, Non-U.S. Gov&amp;apos;t&lt;/work-type&gt;&lt;urls&gt;&lt;/urls&gt;&lt;/record&gt;&lt;/Cite&gt;&lt;/EndNote&gt;</w:instrText>
      </w:r>
      <w:r w:rsidR="00204467">
        <w:rPr>
          <w:rFonts w:cs="Arial"/>
          <w:color w:val="000000"/>
          <w:sz w:val="22"/>
          <w:szCs w:val="22"/>
          <w:lang w:val="en-US"/>
        </w:rPr>
        <w:fldChar w:fldCharType="separate"/>
      </w:r>
      <w:r>
        <w:rPr>
          <w:rFonts w:cs="Arial"/>
          <w:noProof/>
          <w:color w:val="000000"/>
          <w:sz w:val="22"/>
          <w:szCs w:val="22"/>
          <w:lang w:val="en-US"/>
        </w:rPr>
        <w:t>(</w:t>
      </w:r>
      <w:hyperlink w:anchor="_ENREF_1" w:tooltip="Compston, 2008 #3" w:history="1">
        <w:r>
          <w:rPr>
            <w:rFonts w:cs="Arial"/>
            <w:noProof/>
            <w:color w:val="000000"/>
            <w:sz w:val="22"/>
            <w:szCs w:val="22"/>
            <w:lang w:val="en-US"/>
          </w:rPr>
          <w:t>1</w:t>
        </w:r>
      </w:hyperlink>
      <w:r>
        <w:rPr>
          <w:rFonts w:cs="Arial"/>
          <w:noProof/>
          <w:color w:val="000000"/>
          <w:sz w:val="22"/>
          <w:szCs w:val="22"/>
          <w:lang w:val="en-US"/>
        </w:rPr>
        <w:t>)</w:t>
      </w:r>
      <w:r w:rsidR="00204467">
        <w:rPr>
          <w:rFonts w:cs="Arial"/>
          <w:color w:val="000000"/>
          <w:sz w:val="22"/>
          <w:szCs w:val="22"/>
          <w:lang w:val="en-US"/>
        </w:rPr>
        <w:fldChar w:fldCharType="end"/>
      </w:r>
      <w:r>
        <w:rPr>
          <w:rFonts w:cs="Arial"/>
          <w:color w:val="000000"/>
          <w:sz w:val="22"/>
          <w:szCs w:val="22"/>
          <w:lang w:val="en-US"/>
        </w:rPr>
        <w:t xml:space="preserve">. </w:t>
      </w:r>
    </w:p>
    <w:p w:rsidR="006B637D" w:rsidRDefault="006B637D" w:rsidP="006B637D">
      <w:pPr>
        <w:jc w:val="both"/>
      </w:pPr>
      <w:r>
        <w:lastRenderedPageBreak/>
        <w:t xml:space="preserve">MS is more common among women than men </w:t>
      </w:r>
      <w:r w:rsidR="00204467">
        <w:fldChar w:fldCharType="begin"/>
      </w:r>
      <w:r>
        <w:instrText xml:space="preserve"> ADDIN EN.CITE &lt;EndNote&gt;&lt;Cite&gt;&lt;Author&gt;Simpson&lt;/Author&gt;&lt;Year&gt;2011&lt;/Year&gt;&lt;RecNum&gt;8&lt;/RecNum&gt;&lt;DisplayText&gt;(3)&lt;/DisplayText&gt;&lt;record&gt;&lt;rec-number&gt;8&lt;/rec-number&gt;&lt;foreign-keys&gt;&lt;key app="EN" db-id="5v92t2t9i9wzrpexw2ox0eso5t9xfrxtd0sv" timestamp="1423753946"&gt;8&lt;/key&gt;&lt;/foreign-keys&gt;&lt;ref-type name="Journal Article"&gt;17&lt;/ref-type&gt;&lt;contributors&gt;&lt;authors&gt;&lt;author&gt;Simpson, S., Jr.&lt;/author&gt;&lt;author&gt;Blizzard, L.&lt;/author&gt;&lt;author&gt;Otahal, P.&lt;/author&gt;&lt;author&gt;Van der Mei, I.&lt;/author&gt;&lt;author&gt;Taylor, B.&lt;/author&gt;&lt;/authors&gt;&lt;/contributors&gt;&lt;titles&gt;&lt;title&gt;Latitude is significantly associated with the prevalence of multiple sclerosis: a meta-analysis&lt;/title&gt;&lt;secondary-title&gt;J Neurol Neurosurg Psychiatry.&lt;/secondary-title&gt;&lt;/titles&gt;&lt;periodical&gt;&lt;full-title&gt;J Neurol Neurosurg Psychiatry.&lt;/full-title&gt;&lt;/periodical&gt;&lt;pages&gt;1132-41. doi: 10.1136/jnnp.2011.240432. Epub 2011 Apr 8.&lt;/pages&gt;&lt;volume&gt;82&lt;/volume&gt;&lt;number&gt;10&lt;/number&gt;&lt;keywords&gt;&lt;keyword&gt;0 (HLA-DR Antigens)&lt;/keyword&gt;&lt;keyword&gt;0 (HLA-DRB1 Chains)&lt;/keyword&gt;&lt;keyword&gt;Alleles&lt;/keyword&gt;&lt;keyword&gt;Australasia&lt;/keyword&gt;&lt;keyword&gt;Cross-Cultural Comparison&lt;/keyword&gt;&lt;keyword&gt;Cross-Sectional Studies&lt;/keyword&gt;&lt;keyword&gt;Europe&lt;/keyword&gt;&lt;keyword&gt;Gene Frequency/genetics&lt;/keyword&gt;&lt;keyword&gt;Genetic Predisposition to Disease/genetics&lt;/keyword&gt;&lt;keyword&gt;HLA-DR Antigens/genetics&lt;/keyword&gt;&lt;keyword&gt;HLA-DRB1 Chains&lt;/keyword&gt;&lt;keyword&gt;Humans&lt;/keyword&gt;&lt;keyword&gt;Incidence&lt;/keyword&gt;&lt;keyword&gt;Multiple Sclerosis/*epidemiology/etiology/genetics&lt;/keyword&gt;&lt;keyword&gt;North America&lt;/keyword&gt;&lt;keyword&gt;Risk Factors&lt;/keyword&gt;&lt;keyword&gt;*Topography, Medical&lt;/keyword&gt;&lt;keyword&gt;Ultraviolet Rays&lt;/keyword&gt;&lt;/keywords&gt;&lt;dates&gt;&lt;year&gt;2011&lt;/year&gt;&lt;pub-dates&gt;&lt;date&gt;Oct&lt;/date&gt;&lt;/pub-dates&gt;&lt;/dates&gt;&lt;isbn&gt;1468-330X (Electronic)&amp;#xD;0022-3050 (Linking)&lt;/isbn&gt;&lt;work-type&gt;Comparative Study&amp;#xD;Meta-Analysis&amp;#xD;Research Support, Non-U.S. Gov&amp;apos;t&lt;/work-type&gt;&lt;urls&gt;&lt;/urls&gt;&lt;/record&gt;&lt;/Cite&gt;&lt;/EndNote&gt;</w:instrText>
      </w:r>
      <w:r w:rsidR="00204467">
        <w:fldChar w:fldCharType="separate"/>
      </w:r>
      <w:r>
        <w:rPr>
          <w:noProof/>
        </w:rPr>
        <w:t>(</w:t>
      </w:r>
      <w:hyperlink w:anchor="_ENREF_3" w:tooltip="Simpson, 2011 #8" w:history="1">
        <w:r>
          <w:rPr>
            <w:noProof/>
          </w:rPr>
          <w:t>3</w:t>
        </w:r>
      </w:hyperlink>
      <w:r>
        <w:rPr>
          <w:noProof/>
        </w:rPr>
        <w:t>)</w:t>
      </w:r>
      <w:r w:rsidR="00204467">
        <w:fldChar w:fldCharType="end"/>
      </w:r>
      <w:r>
        <w:t xml:space="preserve">. Norwegian MS prevalence rate is among the highest reported worldwide </w:t>
      </w:r>
      <w:r w:rsidR="00204467">
        <w:fldChar w:fldCharType="begin">
          <w:fldData xml:space="preserve">PEVuZE5vdGU+PENpdGU+PEF1dGhvcj5CZXJnLUhhbnNlbjwvQXV0aG9yPjxZZWFyPjIwMTQ8L1ll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</w:fldData>
        </w:fldChar>
      </w:r>
      <w:r>
        <w:instrText xml:space="preserve"> ADDIN EN.CITE </w:instrText>
      </w:r>
      <w:r w:rsidR="00204467">
        <w:fldChar w:fldCharType="begin">
          <w:fldData xml:space="preserve">PEVuZE5vdGU+PENpdGU+PEF1dGhvcj5CZXJnLUhhbnNlbjwvQXV0aG9yPjxZZWFyPjIwMTQ8L1ll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</w:fldData>
        </w:fldChar>
      </w:r>
      <w:r>
        <w:instrText xml:space="preserve"> ADDIN EN.CITE.DATA </w:instrText>
      </w:r>
      <w:r w:rsidR="00204467">
        <w:fldChar w:fldCharType="end"/>
      </w:r>
      <w:r w:rsidR="00204467">
        <w:fldChar w:fldCharType="separate"/>
      </w:r>
      <w:r>
        <w:rPr>
          <w:noProof/>
        </w:rPr>
        <w:t>(</w:t>
      </w:r>
      <w:hyperlink w:anchor="_ENREF_1" w:tooltip="Compston, 2008 #3" w:history="1">
        <w:r>
          <w:rPr>
            <w:noProof/>
          </w:rPr>
          <w:t>1</w:t>
        </w:r>
      </w:hyperlink>
      <w:r>
        <w:rPr>
          <w:noProof/>
        </w:rPr>
        <w:t xml:space="preserve">, </w:t>
      </w:r>
      <w:hyperlink w:anchor="_ENREF_4" w:tooltip="Berg-Hansen, 2014 #2" w:history="1">
        <w:r>
          <w:rPr>
            <w:noProof/>
          </w:rPr>
          <w:t>4</w:t>
        </w:r>
      </w:hyperlink>
      <w:r>
        <w:rPr>
          <w:noProof/>
        </w:rPr>
        <w:t>)</w:t>
      </w:r>
      <w:r w:rsidR="00204467">
        <w:fldChar w:fldCharType="end"/>
      </w:r>
      <w:r>
        <w:t xml:space="preserve">. A study, using </w:t>
      </w:r>
      <w:r>
        <w:rPr>
          <w:lang w:val="en-US"/>
        </w:rPr>
        <w:t xml:space="preserve">the Oslo MS Registry and </w:t>
      </w:r>
      <w:r w:rsidRPr="0069248B">
        <w:rPr>
          <w:lang w:val="en-US"/>
        </w:rPr>
        <w:t>the Norwegian MS Registry and Biobank</w:t>
      </w:r>
      <w:r>
        <w:t xml:space="preserve">, estimated prevalence rates of 195/100, 000 (95% confidence interval: 191-199) overall, 272 (266-279) for women, and 119 (115-124) for men </w:t>
      </w:r>
      <w:r w:rsidR="00204467">
        <w:fldChar w:fldCharType="begin"/>
      </w:r>
      <w:r>
        <w:instrText xml:space="preserve"> ADDIN EN.CITE &lt;EndNote&gt;&lt;Cite&gt;&lt;Author&gt;Berg-Hansen&lt;/Author&gt;&lt;Year&gt;2014&lt;/Year&gt;&lt;RecNum&gt;2&lt;/RecNum&gt;&lt;DisplayText&gt;(4)&lt;/DisplayText&gt;&lt;record&gt;&lt;rec-number&gt;2&lt;/rec-number&gt;&lt;foreign-keys&gt;&lt;key app="EN" db-id="5v92t2t9i9wzrpexw2ox0eso5t9xfrxtd0sv" timestamp="1423753487"&gt;2&lt;/key&gt;&lt;/foreign-keys&gt;&lt;ref-type name="Journal Article"&gt;17&lt;/ref-type&gt;&lt;contributors&gt;&lt;authors&gt;&lt;author&gt;Berg-Hansen, P.&lt;/author&gt;&lt;author&gt;Moen, S. M.&lt;/author&gt;&lt;author&gt;Harbo, H. F.&lt;/author&gt;&lt;author&gt;Celius, E. G.&lt;/author&gt;&lt;/authors&gt;&lt;/contributors&gt;&lt;titles&gt;&lt;title&gt;High prevalence and no latitude gradient of multiple sclerosis in Norway&lt;/title&gt;&lt;secondary-title&gt;Mult Scler.&lt;/secondary-title&gt;&lt;/titles&gt;&lt;periodical&gt;&lt;full-title&gt;Mult Scler.&lt;/full-title&gt;&lt;/periodical&gt;&lt;pages&gt;1780-2. doi: 10.1177/1352458514525871. Epub 2014 Mar 6.&lt;/pages&gt;&lt;volume&gt;20&lt;/volume&gt;&lt;number&gt;13&lt;/number&gt;&lt;dates&gt;&lt;year&gt;2014&lt;/year&gt;&lt;pub-dates&gt;&lt;date&gt;Nov&lt;/date&gt;&lt;/pub-dates&gt;&lt;/dates&gt;&lt;orig-pub&gt;Epidemiology&amp;#xD;Norway&amp;#xD;latitude&amp;#xD;latitude gradient&amp;#xD;multiple sclerosis&amp;#xD;prevalence&lt;/orig-pub&gt;&lt;isbn&gt;1477-0970 (Electronic)&amp;#xD;1352-4585 (Linking)&lt;/isbn&gt;&lt;work-type&gt;Research Support, Non-U.S. Gov&amp;apos;t&lt;/work-type&gt;&lt;urls&gt;&lt;/urls&gt;&lt;/record&gt;&lt;/Cite&gt;&lt;/EndNote&gt;</w:instrText>
      </w:r>
      <w:r w:rsidR="00204467">
        <w:fldChar w:fldCharType="separate"/>
      </w:r>
      <w:r>
        <w:rPr>
          <w:noProof/>
        </w:rPr>
        <w:t>(</w:t>
      </w:r>
      <w:hyperlink w:anchor="_ENREF_4" w:tooltip="Berg-Hansen, 2014 #2" w:history="1">
        <w:r>
          <w:rPr>
            <w:noProof/>
          </w:rPr>
          <w:t>4</w:t>
        </w:r>
      </w:hyperlink>
      <w:r>
        <w:rPr>
          <w:noProof/>
        </w:rPr>
        <w:t>)</w:t>
      </w:r>
      <w:r w:rsidR="00204467">
        <w:fldChar w:fldCharType="end"/>
      </w:r>
      <w:r>
        <w:t xml:space="preserve">. </w:t>
      </w:r>
    </w:p>
    <w:p w:rsidR="006B637D" w:rsidRDefault="006B637D" w:rsidP="006B637D">
      <w:pPr>
        <w:jc w:val="both"/>
      </w:pPr>
      <w:r>
        <w:t>The disease usually starts around the age of 30 (range 20-40). I</w:t>
      </w:r>
      <w:r>
        <w:rPr>
          <w:lang w:val="en-US"/>
        </w:rPr>
        <w:t xml:space="preserve">n 20% of patients, the illness is progressive from onset </w:t>
      </w:r>
      <w:r w:rsidR="00204467">
        <w:rPr>
          <w:lang w:val="en-US"/>
        </w:rPr>
        <w:fldChar w:fldCharType="begin"/>
      </w:r>
      <w:r>
        <w:rPr>
          <w:lang w:val="en-US"/>
        </w:rPr>
        <w:instrText xml:space="preserve"> ADDIN EN.CITE &lt;EndNote&gt;&lt;Cite&gt;&lt;Author&gt;Compston&lt;/Author&gt;&lt;Year&gt;2008&lt;/Year&gt;&lt;RecNum&gt;3&lt;/RecNum&gt;&lt;DisplayText&gt;(1)&lt;/DisplayText&gt;&lt;record&gt;&lt;rec-number&gt;3&lt;/rec-number&gt;&lt;foreign-keys&gt;&lt;key app="EN" db-id="5v92t2t9i9wzrpexw2ox0eso5t9xfrxtd0sv" timestamp="1423753487"&gt;3&lt;/key&gt;&lt;/foreign-keys&gt;&lt;ref-type name="Journal Article"&gt;17&lt;/ref-type&gt;&lt;contributors&gt;&lt;authors&gt;&lt;author&gt;Compston, A.&lt;/author&gt;&lt;author&gt;Coles, A.&lt;/author&gt;&lt;/authors&gt;&lt;/contributors&gt;&lt;titles&gt;&lt;title&gt;Multiple sclerosis&lt;/title&gt;&lt;secondary-title&gt;Lancet.&lt;/secondary-title&gt;&lt;/titles&gt;&lt;periodical&gt;&lt;full-title&gt;Lancet.&lt;/full-title&gt;&lt;/periodical&gt;&lt;pages&gt;1502-17. doi: 10.1016/S0140-6736(08)61620-7.&lt;/pages&gt;&lt;volume&gt;372&lt;/volume&gt;&lt;number&gt;9648&lt;/number&gt;&lt;keywords&gt;&lt;keyword&gt;Disease Progression&lt;/keyword&gt;&lt;keyword&gt;Female&lt;/keyword&gt;&lt;keyword&gt;Genetics, Population&lt;/keyword&gt;&lt;keyword&gt;Humans&lt;/keyword&gt;&lt;keyword&gt;Male&lt;/keyword&gt;&lt;keyword&gt;Multiple Sclerosis/diagnosis/etiology/*physiopathology&lt;/keyword&gt;&lt;keyword&gt;Prevalence&lt;/keyword&gt;&lt;/keywords&gt;&lt;dates&gt;&lt;year&gt;2008&lt;/year&gt;&lt;pub-dates&gt;&lt;date&gt;Oct 25&lt;/date&gt;&lt;/pub-dates&gt;&lt;/dates&gt;&lt;isbn&gt;1474-547X (Electronic)&amp;#xD;0140-6736 (Linking)&lt;/isbn&gt;&lt;work-type&gt;Research Support, Non-U.S. Gov&amp;apos;t&lt;/work-type&gt;&lt;urls&gt;&lt;/urls&gt;&lt;/record&gt;&lt;/Cite&gt;&lt;/EndNote&gt;</w:instrText>
      </w:r>
      <w:r w:rsidR="00204467">
        <w:rPr>
          <w:lang w:val="en-US"/>
        </w:rPr>
        <w:fldChar w:fldCharType="separate"/>
      </w:r>
      <w:r>
        <w:rPr>
          <w:noProof/>
          <w:lang w:val="en-US"/>
        </w:rPr>
        <w:t>(</w:t>
      </w:r>
      <w:hyperlink w:anchor="_ENREF_1" w:tooltip="Compston, 2008 #3" w:history="1">
        <w:r>
          <w:rPr>
            <w:noProof/>
            <w:lang w:val="en-US"/>
          </w:rPr>
          <w:t>1</w:t>
        </w:r>
      </w:hyperlink>
      <w:r>
        <w:rPr>
          <w:noProof/>
          <w:lang w:val="en-US"/>
        </w:rPr>
        <w:t>)</w:t>
      </w:r>
      <w:r w:rsidR="00204467">
        <w:rPr>
          <w:lang w:val="en-US"/>
        </w:rPr>
        <w:fldChar w:fldCharType="end"/>
      </w:r>
      <w:r>
        <w:rPr>
          <w:lang w:val="en-US"/>
        </w:rPr>
        <w:t xml:space="preserve">. In most patients the disease </w:t>
      </w:r>
      <w:r>
        <w:t xml:space="preserve">follows, first, a relapsing-remitting course that can last several years </w:t>
      </w:r>
      <w:r w:rsidR="00204467">
        <w:fldChar w:fldCharType="begin"/>
      </w:r>
      <w:r>
        <w:instrText xml:space="preserve"> ADDIN EN.CITE &lt;EndNote&gt;&lt;Cite ExcludeAuth="1" ExcludeYear="1"&gt;&lt;RecNum&gt;9&lt;/RecNum&gt;&lt;DisplayText&gt;(5)&lt;/DisplayText&gt;&lt;record&gt;&lt;rec-number&gt;9&lt;/rec-number&gt;&lt;foreign-keys&gt;&lt;key app="EN" db-id="5v92t2t9i9wzrpexw2ox0eso5t9xfrxtd0sv" timestamp="1423754178"&gt;9&lt;/key&gt;&lt;/foreign-keys&gt;&lt;ref-type name="Web Page"&gt;12&lt;/ref-type&gt;&lt;contributors&gt;&lt;/contributors&gt;&lt;titles&gt;&lt;title&gt;http://nevro.legehandboka.no/demyeliniserende-sykdommer/ms-multippel-sklerose-31960.html&lt;/title&gt;&lt;/titles&gt;&lt;number&gt;12/02/2015&lt;/number&gt;&lt;dates&gt;&lt;/dates&gt;&lt;urls&gt;&lt;/urls&gt;&lt;/record&gt;&lt;/Cite&gt;&lt;/EndNote&gt;</w:instrText>
      </w:r>
      <w:r w:rsidR="00204467">
        <w:fldChar w:fldCharType="separate"/>
      </w:r>
      <w:r>
        <w:rPr>
          <w:noProof/>
        </w:rPr>
        <w:t>(</w:t>
      </w:r>
      <w:hyperlink w:anchor="_ENREF_5" w:tooltip=",  #9" w:history="1">
        <w:r>
          <w:rPr>
            <w:noProof/>
          </w:rPr>
          <w:t>5</w:t>
        </w:r>
      </w:hyperlink>
      <w:r>
        <w:rPr>
          <w:noProof/>
        </w:rPr>
        <w:t>)</w:t>
      </w:r>
      <w:r w:rsidR="00204467">
        <w:fldChar w:fldCharType="end"/>
      </w:r>
      <w:r>
        <w:t xml:space="preserve">. </w:t>
      </w:r>
      <w:r>
        <w:rPr>
          <w:lang w:val="en-US"/>
        </w:rPr>
        <w:t xml:space="preserve">With time, recovery from each episode is incomplete and persistent symptoms accumulate </w:t>
      </w:r>
      <w:r w:rsidR="00204467">
        <w:rPr>
          <w:lang w:val="en-US"/>
        </w:rPr>
        <w:fldChar w:fldCharType="begin"/>
      </w:r>
      <w:r>
        <w:rPr>
          <w:lang w:val="en-US"/>
        </w:rPr>
        <w:instrText xml:space="preserve"> ADDIN EN.CITE &lt;EndNote&gt;&lt;Cite&gt;&lt;Author&gt;Compston&lt;/Author&gt;&lt;Year&gt;2008&lt;/Year&gt;&lt;RecNum&gt;3&lt;/RecNum&gt;&lt;DisplayText&gt;(1)&lt;/DisplayText&gt;&lt;record&gt;&lt;rec-number&gt;3&lt;/rec-number&gt;&lt;foreign-keys&gt;&lt;key app="EN" db-id="5v92t2t9i9wzrpexw2ox0eso5t9xfrxtd0sv" timestamp="1423753487"&gt;3&lt;/key&gt;&lt;/foreign-keys&gt;&lt;ref-type name="Journal Article"&gt;17&lt;/ref-type&gt;&lt;contributors&gt;&lt;authors&gt;&lt;author&gt;Compston, A.&lt;/author&gt;&lt;author&gt;Coles, A.&lt;/author&gt;&lt;/authors&gt;&lt;/contributors&gt;&lt;titles&gt;&lt;title&gt;Multiple sclerosis&lt;/title&gt;&lt;secondary-title&gt;Lancet.&lt;/secondary-title&gt;&lt;/titles&gt;&lt;periodical&gt;&lt;full-title&gt;Lancet.&lt;/full-title&gt;&lt;/periodical&gt;&lt;pages&gt;1502-17. doi: 10.1016/S0140-6736(08)61620-7.&lt;/pages&gt;&lt;volume&gt;372&lt;/volume&gt;&lt;number&gt;9648&lt;/number&gt;&lt;keywords&gt;&lt;keyword&gt;Disease Progression&lt;/keyword&gt;&lt;keyword&gt;Female&lt;/keyword&gt;&lt;keyword&gt;Genetics, Population&lt;/keyword&gt;&lt;keyword&gt;Humans&lt;/keyword&gt;&lt;keyword&gt;Male&lt;/keyword&gt;&lt;keyword&gt;Multiple Sclerosis/diagnosis/etiology/*physiopathology&lt;/keyword&gt;&lt;keyword&gt;Prevalence&lt;/keyword&gt;&lt;/keywords&gt;&lt;dates&gt;&lt;year&gt;2008&lt;/year&gt;&lt;pub-dates&gt;&lt;date&gt;Oct 25&lt;/date&gt;&lt;/pub-dates&gt;&lt;/dates&gt;&lt;isbn&gt;1474-547X (Electronic)&amp;#xD;0140-6736 (Linking)&lt;/isbn&gt;&lt;work-type&gt;Research Support, Non-U.S. Gov&amp;apos;t&lt;/work-type&gt;&lt;urls&gt;&lt;/urls&gt;&lt;/record&gt;&lt;/Cite&gt;&lt;/EndNote&gt;</w:instrText>
      </w:r>
      <w:r w:rsidR="00204467">
        <w:rPr>
          <w:lang w:val="en-US"/>
        </w:rPr>
        <w:fldChar w:fldCharType="separate"/>
      </w:r>
      <w:r>
        <w:rPr>
          <w:noProof/>
          <w:lang w:val="en-US"/>
        </w:rPr>
        <w:t>(</w:t>
      </w:r>
      <w:hyperlink w:anchor="_ENREF_1" w:tooltip="Compston, 2008 #3" w:history="1">
        <w:r>
          <w:rPr>
            <w:noProof/>
            <w:lang w:val="en-US"/>
          </w:rPr>
          <w:t>1</w:t>
        </w:r>
      </w:hyperlink>
      <w:r>
        <w:rPr>
          <w:noProof/>
          <w:lang w:val="en-US"/>
        </w:rPr>
        <w:t>)</w:t>
      </w:r>
      <w:r w:rsidR="00204467">
        <w:rPr>
          <w:lang w:val="en-US"/>
        </w:rPr>
        <w:fldChar w:fldCharType="end"/>
      </w:r>
      <w:r>
        <w:rPr>
          <w:lang w:val="en-US"/>
        </w:rPr>
        <w:t xml:space="preserve">. Around 65% of </w:t>
      </w:r>
      <w:r>
        <w:t xml:space="preserve">relapsing-remitting </w:t>
      </w:r>
      <w:r>
        <w:rPr>
          <w:lang w:val="en-US"/>
        </w:rPr>
        <w:t xml:space="preserve">patients evolve to </w:t>
      </w:r>
      <w:r>
        <w:t xml:space="preserve">a phase of increasing dysfunction (secondary progressive phase) </w:t>
      </w:r>
      <w:r w:rsidR="00204467">
        <w:fldChar w:fldCharType="begin"/>
      </w:r>
      <w:r>
        <w:instrText xml:space="preserve"> ADDIN EN.CITE &lt;EndNote&gt;&lt;Cite&gt;&lt;Author&gt;Compston&lt;/Author&gt;&lt;Year&gt;2008&lt;/Year&gt;&lt;RecNum&gt;3&lt;/RecNum&gt;&lt;DisplayText&gt;(1)&lt;/DisplayText&gt;&lt;record&gt;&lt;rec-number&gt;3&lt;/rec-number&gt;&lt;foreign-keys&gt;&lt;key app="EN" db-id="5v92t2t9i9wzrpexw2ox0eso5t9xfrxtd0sv" timestamp="1423753487"&gt;3&lt;/key&gt;&lt;/foreign-keys&gt;&lt;ref-type name="Journal Article"&gt;17&lt;/ref-type&gt;&lt;contributors&gt;&lt;authors&gt;&lt;author&gt;Compston, A.&lt;/author&gt;&lt;author&gt;Coles, A.&lt;/author&gt;&lt;/authors&gt;&lt;/contributors&gt;&lt;titles&gt;&lt;title&gt;Multiple sclerosis&lt;/title&gt;&lt;secondary-title&gt;Lancet.&lt;/secondary-title&gt;&lt;/titles&gt;&lt;periodical&gt;&lt;full-title&gt;Lancet.&lt;/full-title&gt;&lt;/periodical&gt;&lt;pages&gt;1502-17. doi: 10.1016/S0140-6736(08)61620-7.&lt;/pages&gt;&lt;volume&gt;372&lt;/volume&gt;&lt;number&gt;9648&lt;/number&gt;&lt;keywords&gt;&lt;keyword&gt;Disease Progression&lt;/keyword&gt;&lt;keyword&gt;Female&lt;/keyword&gt;&lt;keyword&gt;Genetics, Population&lt;/keyword&gt;&lt;keyword&gt;Humans&lt;/keyword&gt;&lt;keyword&gt;Male&lt;/keyword&gt;&lt;keyword&gt;Multiple Sclerosis/diagnosis/etiology/*physiopathology&lt;/keyword&gt;&lt;keyword&gt;Prevalence&lt;/keyword&gt;&lt;/keywords&gt;&lt;dates&gt;&lt;year&gt;2008&lt;/year&gt;&lt;pub-dates&gt;&lt;date&gt;Oct 25&lt;/date&gt;&lt;/pub-dates&gt;&lt;/dates&gt;&lt;isbn&gt;1474-547X (Electronic)&amp;#xD;0140-6736 (Linking)&lt;/isbn&gt;&lt;work-type&gt;Research Support, Non-U.S. Gov&amp;apos;t&lt;/work-type&gt;&lt;urls&gt;&lt;/urls&gt;&lt;/record&gt;&lt;/Cite&gt;&lt;/EndNote&gt;</w:instrText>
      </w:r>
      <w:r w:rsidR="00204467">
        <w:fldChar w:fldCharType="separate"/>
      </w:r>
      <w:r>
        <w:rPr>
          <w:noProof/>
        </w:rPr>
        <w:t>(</w:t>
      </w:r>
      <w:hyperlink w:anchor="_ENREF_1" w:tooltip="Compston, 2008 #3" w:history="1">
        <w:r>
          <w:rPr>
            <w:noProof/>
          </w:rPr>
          <w:t>1</w:t>
        </w:r>
      </w:hyperlink>
      <w:r>
        <w:rPr>
          <w:noProof/>
        </w:rPr>
        <w:t>)</w:t>
      </w:r>
      <w:r w:rsidR="00204467">
        <w:fldChar w:fldCharType="end"/>
      </w:r>
      <w:r>
        <w:t xml:space="preserve">. Medicines in use are disease modifying drugs that inhibit the inflammatory process, avoid progression, and reduce disabilities due to the disease. While several of these medicines are used in Norway, it is unclear which </w:t>
      </w:r>
      <w:r>
        <w:rPr>
          <w:rFonts w:cs="Arial"/>
          <w:color w:val="000000"/>
          <w:lang w:val="en-US"/>
        </w:rPr>
        <w:t>of these drugs are most effective and cost-effective.</w:t>
      </w:r>
    </w:p>
    <w:p w:rsidR="006B637D" w:rsidRPr="008D3713" w:rsidRDefault="006B637D" w:rsidP="008D3713">
      <w:pPr>
        <w:spacing w:after="0" w:line="480" w:lineRule="auto"/>
        <w:rPr>
          <w:rFonts w:ascii="Times New Roman" w:eastAsia="Times New Roman" w:hAnsi="Times New Roman" w:cs="Times New Roman"/>
          <w:b/>
          <w:sz w:val="24"/>
          <w:szCs w:val="24"/>
        </w:rPr>
      </w:pPr>
      <w:r w:rsidRPr="008D3713">
        <w:rPr>
          <w:rFonts w:ascii="Times New Roman" w:eastAsia="Times New Roman" w:hAnsi="Times New Roman" w:cs="Times New Roman"/>
          <w:b/>
          <w:sz w:val="24"/>
          <w:szCs w:val="24"/>
        </w:rPr>
        <w:t>Methods used to carry out the systematic review</w:t>
      </w:r>
    </w:p>
    <w:p w:rsidR="006B637D" w:rsidRDefault="006B637D" w:rsidP="006B637D">
      <w:r w:rsidRPr="00BF0D2B">
        <w:t xml:space="preserve">We will perform the systematic review using the methodology described in the handbook of </w:t>
      </w:r>
      <w:r w:rsidRPr="00BF0D2B">
        <w:rPr>
          <w:rFonts w:cs="Helvetica"/>
          <w:color w:val="333333"/>
          <w:shd w:val="clear" w:color="auto" w:fill="FFFFFF"/>
          <w:lang w:val="en-US"/>
        </w:rPr>
        <w:t>The Norwegian Knowledge Centre for the Health Services</w:t>
      </w:r>
      <w:r>
        <w:rPr>
          <w:rFonts w:cs="Helvetica"/>
          <w:color w:val="333333"/>
          <w:shd w:val="clear" w:color="auto" w:fill="FFFFFF"/>
          <w:lang w:val="en-US"/>
        </w:rPr>
        <w:t xml:space="preserve"> (</w:t>
      </w:r>
      <w:r>
        <w:t>Kunnskapssenteret)</w:t>
      </w:r>
      <w:r w:rsidRPr="00BF0D2B">
        <w:rPr>
          <w:rStyle w:val="apple-converted-space"/>
          <w:rFonts w:ascii="Helvetica" w:hAnsi="Helvetica" w:cs="Helvetica"/>
          <w:color w:val="333333"/>
          <w:sz w:val="26"/>
          <w:szCs w:val="26"/>
          <w:shd w:val="clear" w:color="auto" w:fill="FFFFFF"/>
          <w:lang w:val="en-US"/>
        </w:rPr>
        <w:t> </w:t>
      </w:r>
      <w:r>
        <w:t xml:space="preserve"> </w:t>
      </w:r>
      <w:r w:rsidR="00204467">
        <w:fldChar w:fldCharType="begin"/>
      </w:r>
      <w:r>
        <w:instrText xml:space="preserve"> ADDIN EN.CITE &lt;EndNote&gt;&lt;Cite&gt;&lt;Author&gt;helsetjenesten&lt;/Author&gt;&lt;Year&gt;2013&lt;/Year&gt;&lt;RecNum&gt;15&lt;/RecNum&gt;&lt;DisplayText&gt;(6)&lt;/DisplayText&gt;&lt;record&gt;&lt;rec-number&gt;15&lt;/rec-number&gt;&lt;foreign-keys&gt;&lt;key app="EN" db-id="5v92t2t9i9wzrpexw2ox0eso5t9xfrxtd0sv" timestamp="1424865566"&gt;15&lt;/key&gt;&lt;/foreign-keys&gt;&lt;ref-type name="Book"&gt;6&lt;/ref-type&gt;&lt;contributors&gt;&lt;authors&gt;&lt;author&gt;Nasjonalt kunnskapssenter for helsetjenesten&lt;/author&gt;&lt;/authors&gt;&lt;/contributors&gt;&lt;titles&gt;&lt;title&gt;Slik oppsummerer vi forskning. Håndbok for Nasjonalt kunnskapssenter for helsetjenesten. 3.2. reviderte utg. 2013&lt;/title&gt;&lt;/titles&gt;&lt;dates&gt;&lt;year&gt;2013&lt;/year&gt;&lt;/dates&gt;&lt;urls&gt;&lt;/urls&gt;&lt;/record&gt;&lt;/Cite&gt;&lt;/EndNote&gt;</w:instrText>
      </w:r>
      <w:r w:rsidR="00204467">
        <w:fldChar w:fldCharType="separate"/>
      </w:r>
      <w:r>
        <w:rPr>
          <w:noProof/>
        </w:rPr>
        <w:t>(</w:t>
      </w:r>
      <w:hyperlink w:anchor="_ENREF_6" w:tooltip="helsetjenesten, 2013 #15" w:history="1">
        <w:r>
          <w:rPr>
            <w:noProof/>
          </w:rPr>
          <w:t>6</w:t>
        </w:r>
      </w:hyperlink>
      <w:r>
        <w:rPr>
          <w:noProof/>
        </w:rPr>
        <w:t>)</w:t>
      </w:r>
      <w:r w:rsidR="00204467">
        <w:fldChar w:fldCharType="end"/>
      </w:r>
      <w:r>
        <w:t xml:space="preserve">  </w:t>
      </w:r>
    </w:p>
    <w:p w:rsidR="006B637D" w:rsidRPr="008D3713" w:rsidRDefault="006B637D" w:rsidP="008D3713">
      <w:pPr>
        <w:pStyle w:val="NormalBilledplassering"/>
        <w:rPr>
          <w:b/>
          <w:u w:val="single"/>
          <w:lang w:val="en-GB"/>
        </w:rPr>
      </w:pPr>
      <w:r w:rsidRPr="008D3713">
        <w:rPr>
          <w:b/>
          <w:u w:val="single"/>
          <w:lang w:val="en-GB"/>
        </w:rPr>
        <w:t>Criteria of selecting studies for this HTA</w:t>
      </w:r>
    </w:p>
    <w:p w:rsidR="006B637D" w:rsidRDefault="006B637D" w:rsidP="006B637D">
      <w:pPr>
        <w:contextualSpacing/>
        <w:jc w:val="both"/>
        <w:rPr>
          <w:b/>
          <w:i/>
        </w:rPr>
      </w:pPr>
      <w:r>
        <w:rPr>
          <w:b/>
          <w:i/>
        </w:rPr>
        <w:t>Type of studies</w:t>
      </w:r>
    </w:p>
    <w:p w:rsidR="006B637D" w:rsidRDefault="006B637D" w:rsidP="006B637D">
      <w:pPr>
        <w:contextualSpacing/>
        <w:jc w:val="both"/>
      </w:pPr>
      <w:r>
        <w:t xml:space="preserve">We will first search for published HTA reports or systematic reviews (SR) including randomised controlled trials (RCT). These should be of high quality and fit our inclusion criteria. If identified HTA or SR are based on literature searches that are older than one year from the date of our literature search, </w:t>
      </w:r>
      <w:r w:rsidRPr="00CD7744">
        <w:rPr>
          <w:lang w:val="en-US"/>
        </w:rPr>
        <w:t xml:space="preserve">we will </w:t>
      </w:r>
      <w:r>
        <w:rPr>
          <w:lang w:val="en-US"/>
        </w:rPr>
        <w:t>supplement the HTA or SR with recently</w:t>
      </w:r>
      <w:r w:rsidRPr="00CD7744">
        <w:rPr>
          <w:lang w:val="en-US"/>
        </w:rPr>
        <w:t xml:space="preserve"> published </w:t>
      </w:r>
      <w:r>
        <w:t xml:space="preserve">RCTs. </w:t>
      </w:r>
      <w:r>
        <w:rPr>
          <w:lang w:val="en-US"/>
        </w:rPr>
        <w:t>If possible, we will update existing meta-analyses with newly published data. If we do not identify SRs or HTA reports of high quality meeting our inclusion criteria, we will search for RCTs.</w:t>
      </w:r>
    </w:p>
    <w:p w:rsidR="006B637D" w:rsidRDefault="006B637D" w:rsidP="006B637D">
      <w:pPr>
        <w:contextualSpacing/>
        <w:jc w:val="both"/>
      </w:pPr>
    </w:p>
    <w:p w:rsidR="006B637D" w:rsidRDefault="006B637D" w:rsidP="006B637D">
      <w:pPr>
        <w:contextualSpacing/>
        <w:jc w:val="both"/>
      </w:pPr>
      <w:r>
        <w:t>We will use the following inclusion criteria to include SRs and/or RCTs:</w:t>
      </w:r>
    </w:p>
    <w:p w:rsidR="006B637D" w:rsidRDefault="006B637D" w:rsidP="006B637D">
      <w:pPr>
        <w:contextualSpacing/>
        <w:jc w:val="both"/>
      </w:pPr>
    </w:p>
    <w:p w:rsidR="006B637D" w:rsidRDefault="006B637D" w:rsidP="006B637D">
      <w:pPr>
        <w:contextualSpacing/>
        <w:jc w:val="both"/>
        <w:rPr>
          <w:b/>
          <w:i/>
        </w:rPr>
      </w:pPr>
      <w:r>
        <w:rPr>
          <w:b/>
          <w:i/>
        </w:rPr>
        <w:t>Type of participants (Population of interest)</w:t>
      </w:r>
    </w:p>
    <w:p w:rsidR="006B637D" w:rsidRDefault="006B637D" w:rsidP="006B637D">
      <w:pPr>
        <w:contextualSpacing/>
        <w:jc w:val="both"/>
        <w:rPr>
          <w:lang w:val="en-US"/>
        </w:rPr>
      </w:pPr>
      <w:r w:rsidRPr="005D3F11">
        <w:t xml:space="preserve">Men and women aged 18 and above diagnosed with </w:t>
      </w:r>
      <w:r w:rsidRPr="005D3F11">
        <w:rPr>
          <w:lang w:val="en-US"/>
        </w:rPr>
        <w:t>MS. We will consider Clinical Isolated Syndrome (CIS), Relapse-remitting MS (RRMS), and Secondary progressive MS (SPMS).</w:t>
      </w:r>
    </w:p>
    <w:p w:rsidR="006B637D" w:rsidRDefault="006B637D" w:rsidP="006B637D">
      <w:pPr>
        <w:contextualSpacing/>
        <w:jc w:val="both"/>
        <w:rPr>
          <w:lang w:val="en-US"/>
        </w:rPr>
      </w:pPr>
    </w:p>
    <w:p w:rsidR="006B637D" w:rsidRPr="00FC516B" w:rsidRDefault="006B637D" w:rsidP="006B637D">
      <w:pPr>
        <w:jc w:val="both"/>
        <w:rPr>
          <w:rFonts w:ascii="Calibri" w:hAnsi="Calibri"/>
          <w:lang w:val="en-US"/>
        </w:rPr>
      </w:pPr>
      <w:r w:rsidRPr="00FC516B">
        <w:rPr>
          <w:u w:val="single"/>
          <w:lang w:val="en-US"/>
        </w:rPr>
        <w:t>Exclusion</w:t>
      </w:r>
      <w:r>
        <w:rPr>
          <w:lang w:val="en-US"/>
        </w:rPr>
        <w:t>: We will exclude p</w:t>
      </w:r>
      <w:r w:rsidRPr="00FC516B">
        <w:rPr>
          <w:lang w:val="en-US"/>
        </w:rPr>
        <w:t xml:space="preserve">atients with </w:t>
      </w:r>
      <w:r>
        <w:rPr>
          <w:lang w:val="en-US"/>
        </w:rPr>
        <w:t xml:space="preserve">Primary </w:t>
      </w:r>
      <w:r w:rsidRPr="00C460E2">
        <w:rPr>
          <w:lang w:val="en-US"/>
        </w:rPr>
        <w:t>progressive MS</w:t>
      </w:r>
      <w:r w:rsidRPr="00FC516B">
        <w:rPr>
          <w:lang w:val="en-US"/>
        </w:rPr>
        <w:t xml:space="preserve"> and Radiologically isolated syndrome.</w:t>
      </w:r>
    </w:p>
    <w:p w:rsidR="006B637D" w:rsidRDefault="006B637D" w:rsidP="006B637D">
      <w:pPr>
        <w:contextualSpacing/>
        <w:jc w:val="both"/>
        <w:rPr>
          <w:lang w:val="en-US"/>
        </w:rPr>
      </w:pPr>
      <w:r>
        <w:rPr>
          <w:lang w:val="en-US"/>
        </w:rPr>
        <w:t xml:space="preserve">Studies that include patients from our exclusion group, further to patients who fit our inclusion criteria, will be included if results are presented separately for each type of patients (so that we can extract results for patients who fit our inclusion criteria). </w:t>
      </w:r>
    </w:p>
    <w:p w:rsidR="006B637D" w:rsidRPr="00C460E2" w:rsidRDefault="006B637D" w:rsidP="006B637D">
      <w:pPr>
        <w:contextualSpacing/>
        <w:jc w:val="both"/>
        <w:rPr>
          <w:lang w:val="en-US"/>
        </w:rPr>
      </w:pPr>
    </w:p>
    <w:p w:rsidR="006B637D" w:rsidRDefault="006B637D" w:rsidP="006B637D">
      <w:pPr>
        <w:contextualSpacing/>
        <w:jc w:val="both"/>
        <w:rPr>
          <w:b/>
          <w:i/>
        </w:rPr>
      </w:pPr>
      <w:r>
        <w:rPr>
          <w:b/>
          <w:i/>
        </w:rPr>
        <w:t xml:space="preserve">Types of interventions </w:t>
      </w:r>
    </w:p>
    <w:p w:rsidR="006B637D" w:rsidRDefault="006B637D" w:rsidP="00616EEC">
      <w:pPr>
        <w:pStyle w:val="afff6"/>
        <w:numPr>
          <w:ilvl w:val="0"/>
          <w:numId w:val="62"/>
        </w:numPr>
        <w:tabs>
          <w:tab w:val="clear" w:pos="510"/>
        </w:tabs>
        <w:spacing w:line="326" w:lineRule="exact"/>
        <w:contextualSpacing/>
        <w:jc w:val="both"/>
        <w:rPr>
          <w:lang w:val="en-GB"/>
        </w:rPr>
      </w:pPr>
      <w:r>
        <w:rPr>
          <w:lang w:val="en-GB"/>
        </w:rPr>
        <w:t>d</w:t>
      </w:r>
      <w:r w:rsidRPr="00FC516B">
        <w:rPr>
          <w:lang w:val="en-GB"/>
        </w:rPr>
        <w:t>imet</w:t>
      </w:r>
      <w:r>
        <w:rPr>
          <w:lang w:val="en-GB"/>
        </w:rPr>
        <w:t>h</w:t>
      </w:r>
      <w:r w:rsidRPr="00FC516B">
        <w:rPr>
          <w:lang w:val="en-GB"/>
        </w:rPr>
        <w:t>yl</w:t>
      </w:r>
      <w:r>
        <w:rPr>
          <w:lang w:val="en-GB"/>
        </w:rPr>
        <w:t xml:space="preserve"> </w:t>
      </w:r>
      <w:r w:rsidRPr="00FC516B">
        <w:rPr>
          <w:lang w:val="en-GB"/>
        </w:rPr>
        <w:t>fumarat</w:t>
      </w:r>
      <w:r>
        <w:rPr>
          <w:lang w:val="en-GB"/>
        </w:rPr>
        <w:t>e</w:t>
      </w:r>
      <w:r w:rsidRPr="00FC516B">
        <w:rPr>
          <w:lang w:val="en-GB"/>
        </w:rPr>
        <w:t xml:space="preserve"> </w:t>
      </w:r>
    </w:p>
    <w:p w:rsidR="006B637D" w:rsidRDefault="006B637D" w:rsidP="00616EEC">
      <w:pPr>
        <w:pStyle w:val="afff6"/>
        <w:numPr>
          <w:ilvl w:val="0"/>
          <w:numId w:val="62"/>
        </w:numPr>
        <w:tabs>
          <w:tab w:val="clear" w:pos="510"/>
        </w:tabs>
        <w:spacing w:line="326" w:lineRule="exact"/>
        <w:contextualSpacing/>
        <w:jc w:val="both"/>
        <w:rPr>
          <w:lang w:val="en-GB"/>
        </w:rPr>
      </w:pPr>
      <w:r w:rsidRPr="00FC516B">
        <w:rPr>
          <w:lang w:val="en-GB"/>
        </w:rPr>
        <w:t>teriflunomid</w:t>
      </w:r>
      <w:r>
        <w:rPr>
          <w:lang w:val="en-GB"/>
        </w:rPr>
        <w:t>e</w:t>
      </w:r>
      <w:r w:rsidRPr="00FC516B">
        <w:rPr>
          <w:lang w:val="en-GB"/>
        </w:rPr>
        <w:t xml:space="preserve"> </w:t>
      </w:r>
    </w:p>
    <w:p w:rsidR="006B637D" w:rsidRDefault="006B637D" w:rsidP="00616EEC">
      <w:pPr>
        <w:pStyle w:val="afff6"/>
        <w:numPr>
          <w:ilvl w:val="0"/>
          <w:numId w:val="62"/>
        </w:numPr>
        <w:tabs>
          <w:tab w:val="clear" w:pos="510"/>
        </w:tabs>
        <w:spacing w:line="326" w:lineRule="exact"/>
        <w:contextualSpacing/>
        <w:jc w:val="both"/>
        <w:rPr>
          <w:lang w:val="en-GB"/>
        </w:rPr>
      </w:pPr>
      <w:r w:rsidRPr="00FC516B">
        <w:rPr>
          <w:lang w:val="en-GB"/>
        </w:rPr>
        <w:t xml:space="preserve">interferon beta </w:t>
      </w:r>
    </w:p>
    <w:p w:rsidR="006B637D" w:rsidRDefault="006B637D" w:rsidP="00616EEC">
      <w:pPr>
        <w:pStyle w:val="afff6"/>
        <w:numPr>
          <w:ilvl w:val="0"/>
          <w:numId w:val="62"/>
        </w:numPr>
        <w:tabs>
          <w:tab w:val="clear" w:pos="510"/>
        </w:tabs>
        <w:spacing w:line="326" w:lineRule="exact"/>
        <w:contextualSpacing/>
        <w:jc w:val="both"/>
        <w:rPr>
          <w:lang w:val="en-GB"/>
        </w:rPr>
      </w:pPr>
      <w:r>
        <w:rPr>
          <w:lang w:val="en-GB"/>
        </w:rPr>
        <w:t>peg-interferon</w:t>
      </w:r>
    </w:p>
    <w:p w:rsidR="006B637D" w:rsidRDefault="006B637D" w:rsidP="00616EEC">
      <w:pPr>
        <w:pStyle w:val="afff6"/>
        <w:numPr>
          <w:ilvl w:val="0"/>
          <w:numId w:val="62"/>
        </w:numPr>
        <w:tabs>
          <w:tab w:val="clear" w:pos="510"/>
        </w:tabs>
        <w:spacing w:line="326" w:lineRule="exact"/>
        <w:contextualSpacing/>
        <w:jc w:val="both"/>
        <w:rPr>
          <w:lang w:val="en-GB"/>
        </w:rPr>
      </w:pPr>
      <w:r w:rsidRPr="00FC516B">
        <w:rPr>
          <w:lang w:val="en-GB"/>
        </w:rPr>
        <w:t>g</w:t>
      </w:r>
      <w:r>
        <w:rPr>
          <w:lang w:val="en-GB"/>
        </w:rPr>
        <w:t xml:space="preserve">latiramer acetate </w:t>
      </w:r>
    </w:p>
    <w:p w:rsidR="006B637D" w:rsidRDefault="006B637D" w:rsidP="00616EEC">
      <w:pPr>
        <w:pStyle w:val="afff6"/>
        <w:numPr>
          <w:ilvl w:val="0"/>
          <w:numId w:val="62"/>
        </w:numPr>
        <w:tabs>
          <w:tab w:val="clear" w:pos="510"/>
        </w:tabs>
        <w:spacing w:line="326" w:lineRule="exact"/>
        <w:contextualSpacing/>
        <w:jc w:val="both"/>
        <w:rPr>
          <w:lang w:val="en-GB"/>
        </w:rPr>
      </w:pPr>
      <w:r>
        <w:rPr>
          <w:lang w:val="en-GB"/>
        </w:rPr>
        <w:t>natalizumab</w:t>
      </w:r>
    </w:p>
    <w:p w:rsidR="006B637D" w:rsidRDefault="006B637D" w:rsidP="00616EEC">
      <w:pPr>
        <w:pStyle w:val="afff6"/>
        <w:numPr>
          <w:ilvl w:val="0"/>
          <w:numId w:val="62"/>
        </w:numPr>
        <w:tabs>
          <w:tab w:val="clear" w:pos="510"/>
        </w:tabs>
        <w:spacing w:line="326" w:lineRule="exact"/>
        <w:contextualSpacing/>
        <w:jc w:val="both"/>
        <w:rPr>
          <w:lang w:val="en-GB"/>
        </w:rPr>
      </w:pPr>
      <w:r>
        <w:rPr>
          <w:lang w:val="en-GB"/>
        </w:rPr>
        <w:t>fi</w:t>
      </w:r>
      <w:r w:rsidRPr="00FC516B">
        <w:rPr>
          <w:lang w:val="en-GB"/>
        </w:rPr>
        <w:t xml:space="preserve">ngolimod </w:t>
      </w:r>
    </w:p>
    <w:p w:rsidR="006B637D" w:rsidRPr="006C2C68" w:rsidRDefault="006B637D" w:rsidP="00616EEC">
      <w:pPr>
        <w:pStyle w:val="afff6"/>
        <w:numPr>
          <w:ilvl w:val="0"/>
          <w:numId w:val="62"/>
        </w:numPr>
        <w:tabs>
          <w:tab w:val="clear" w:pos="510"/>
        </w:tabs>
        <w:spacing w:line="326" w:lineRule="exact"/>
        <w:contextualSpacing/>
        <w:jc w:val="both"/>
        <w:rPr>
          <w:lang w:val="en-GB"/>
        </w:rPr>
      </w:pPr>
      <w:r w:rsidRPr="00FC516B">
        <w:rPr>
          <w:lang w:val="en-GB"/>
        </w:rPr>
        <w:t>alemtuzumab</w:t>
      </w:r>
    </w:p>
    <w:p w:rsidR="006B637D" w:rsidRDefault="006B637D" w:rsidP="006B637D">
      <w:pPr>
        <w:spacing w:line="240" w:lineRule="auto"/>
        <w:rPr>
          <w:b/>
          <w:i/>
        </w:rPr>
      </w:pPr>
    </w:p>
    <w:p w:rsidR="006B637D" w:rsidRDefault="006B637D" w:rsidP="006B637D">
      <w:pPr>
        <w:contextualSpacing/>
        <w:jc w:val="both"/>
        <w:rPr>
          <w:b/>
          <w:i/>
        </w:rPr>
      </w:pPr>
      <w:r>
        <w:rPr>
          <w:b/>
          <w:i/>
        </w:rPr>
        <w:t xml:space="preserve">Comparisons </w:t>
      </w:r>
    </w:p>
    <w:p w:rsidR="006B637D" w:rsidRDefault="006B637D" w:rsidP="00616EEC">
      <w:pPr>
        <w:pStyle w:val="afff6"/>
        <w:numPr>
          <w:ilvl w:val="0"/>
          <w:numId w:val="62"/>
        </w:numPr>
        <w:tabs>
          <w:tab w:val="clear" w:pos="510"/>
        </w:tabs>
        <w:spacing w:line="326" w:lineRule="exact"/>
        <w:contextualSpacing/>
        <w:jc w:val="both"/>
        <w:rPr>
          <w:lang w:val="en-GB"/>
        </w:rPr>
      </w:pPr>
      <w:r>
        <w:rPr>
          <w:lang w:val="en-GB"/>
        </w:rPr>
        <w:t>Placebo</w:t>
      </w:r>
    </w:p>
    <w:p w:rsidR="006B637D" w:rsidRPr="00835CE4" w:rsidRDefault="006B637D" w:rsidP="00616EEC">
      <w:pPr>
        <w:pStyle w:val="afff6"/>
        <w:numPr>
          <w:ilvl w:val="0"/>
          <w:numId w:val="62"/>
        </w:numPr>
        <w:tabs>
          <w:tab w:val="clear" w:pos="510"/>
        </w:tabs>
        <w:spacing w:line="326" w:lineRule="exact"/>
        <w:contextualSpacing/>
        <w:jc w:val="both"/>
        <w:rPr>
          <w:lang w:val="en-GB"/>
        </w:rPr>
      </w:pPr>
      <w:r>
        <w:rPr>
          <w:lang w:val="en-GB"/>
        </w:rPr>
        <w:t>One of the medicines listed above as interventions</w:t>
      </w:r>
    </w:p>
    <w:p w:rsidR="006B637D" w:rsidRDefault="006B637D" w:rsidP="006B637D">
      <w:pPr>
        <w:contextualSpacing/>
        <w:jc w:val="both"/>
        <w:rPr>
          <w:b/>
          <w:i/>
        </w:rPr>
      </w:pPr>
    </w:p>
    <w:p w:rsidR="006B637D" w:rsidRDefault="006B637D" w:rsidP="006B637D">
      <w:pPr>
        <w:contextualSpacing/>
        <w:jc w:val="both"/>
        <w:rPr>
          <w:b/>
          <w:i/>
        </w:rPr>
      </w:pPr>
      <w:r>
        <w:rPr>
          <w:b/>
          <w:i/>
        </w:rPr>
        <w:t>Types of outcome measures</w:t>
      </w:r>
    </w:p>
    <w:p w:rsidR="006B637D" w:rsidRPr="00EE6231" w:rsidRDefault="006B637D" w:rsidP="006B637D">
      <w:pPr>
        <w:contextualSpacing/>
        <w:jc w:val="both"/>
        <w:rPr>
          <w:u w:val="single"/>
        </w:rPr>
      </w:pPr>
      <w:r w:rsidRPr="00EE6231">
        <w:rPr>
          <w:u w:val="single"/>
        </w:rPr>
        <w:t>Primary outcomes</w:t>
      </w:r>
    </w:p>
    <w:p w:rsidR="006B637D" w:rsidRPr="00952D8F" w:rsidRDefault="006B637D" w:rsidP="00616EEC">
      <w:pPr>
        <w:pStyle w:val="afff6"/>
        <w:numPr>
          <w:ilvl w:val="0"/>
          <w:numId w:val="63"/>
        </w:numPr>
        <w:tabs>
          <w:tab w:val="clear" w:pos="510"/>
        </w:tabs>
        <w:spacing w:after="160" w:line="326" w:lineRule="exact"/>
        <w:ind w:left="714" w:hanging="357"/>
        <w:contextualSpacing/>
        <w:rPr>
          <w:rFonts w:ascii="Calibri" w:hAnsi="Calibri"/>
          <w:lang w:val="en-GB" w:eastAsia="en-US"/>
        </w:rPr>
      </w:pPr>
      <w:r>
        <w:rPr>
          <w:lang w:val="en-GB"/>
        </w:rPr>
        <w:t xml:space="preserve">Number of clinical </w:t>
      </w:r>
      <w:r w:rsidRPr="00952D8F">
        <w:rPr>
          <w:lang w:val="en-GB"/>
        </w:rPr>
        <w:t>relapses</w:t>
      </w:r>
    </w:p>
    <w:p w:rsidR="006B637D" w:rsidRPr="000A2104" w:rsidRDefault="006B637D" w:rsidP="00616EEC">
      <w:pPr>
        <w:pStyle w:val="afff6"/>
        <w:numPr>
          <w:ilvl w:val="0"/>
          <w:numId w:val="63"/>
        </w:numPr>
        <w:tabs>
          <w:tab w:val="clear" w:pos="510"/>
        </w:tabs>
        <w:spacing w:after="160" w:line="326" w:lineRule="exact"/>
        <w:ind w:left="714" w:hanging="357"/>
        <w:contextualSpacing/>
        <w:rPr>
          <w:lang w:val="en-GB"/>
        </w:rPr>
      </w:pPr>
      <w:r w:rsidRPr="000A2104">
        <w:rPr>
          <w:lang w:val="en-GB"/>
        </w:rPr>
        <w:t>Disability progression measured using the expanded disability status scale</w:t>
      </w:r>
      <w:r>
        <w:rPr>
          <w:lang w:val="en-GB"/>
        </w:rPr>
        <w:t xml:space="preserve"> (EDSS)</w:t>
      </w:r>
    </w:p>
    <w:p w:rsidR="006B637D" w:rsidRDefault="006B637D" w:rsidP="00616EEC">
      <w:pPr>
        <w:pStyle w:val="afff6"/>
        <w:numPr>
          <w:ilvl w:val="0"/>
          <w:numId w:val="63"/>
        </w:numPr>
        <w:tabs>
          <w:tab w:val="clear" w:pos="510"/>
        </w:tabs>
        <w:spacing w:after="160" w:line="326" w:lineRule="exact"/>
        <w:ind w:left="714" w:hanging="357"/>
        <w:contextualSpacing/>
      </w:pPr>
      <w:r w:rsidRPr="000A2104">
        <w:t>Mortality</w:t>
      </w:r>
    </w:p>
    <w:p w:rsidR="006B637D" w:rsidRPr="00BB5068" w:rsidRDefault="006B637D" w:rsidP="00616EEC">
      <w:pPr>
        <w:pStyle w:val="afff6"/>
        <w:numPr>
          <w:ilvl w:val="0"/>
          <w:numId w:val="63"/>
        </w:numPr>
        <w:tabs>
          <w:tab w:val="clear" w:pos="510"/>
        </w:tabs>
        <w:spacing w:after="160" w:line="326" w:lineRule="exact"/>
        <w:ind w:left="714" w:hanging="357"/>
        <w:contextualSpacing/>
        <w:rPr>
          <w:rFonts w:ascii="Calibri" w:hAnsi="Calibri"/>
          <w:lang w:eastAsia="en-US"/>
        </w:rPr>
      </w:pPr>
      <w:r>
        <w:t>Serious adverse events</w:t>
      </w:r>
    </w:p>
    <w:p w:rsidR="006B637D" w:rsidRPr="00FC516B" w:rsidRDefault="006B637D" w:rsidP="006B637D">
      <w:pPr>
        <w:contextualSpacing/>
        <w:jc w:val="both"/>
        <w:rPr>
          <w:u w:val="single"/>
        </w:rPr>
      </w:pPr>
      <w:r w:rsidRPr="00EE6231">
        <w:rPr>
          <w:u w:val="single"/>
        </w:rPr>
        <w:t>Secondary outcomes:</w:t>
      </w:r>
    </w:p>
    <w:p w:rsidR="006B637D" w:rsidRPr="00FC516B" w:rsidRDefault="006B637D" w:rsidP="00616EEC">
      <w:pPr>
        <w:pStyle w:val="afff6"/>
        <w:numPr>
          <w:ilvl w:val="0"/>
          <w:numId w:val="63"/>
        </w:numPr>
        <w:tabs>
          <w:tab w:val="clear" w:pos="510"/>
        </w:tabs>
        <w:spacing w:after="160" w:line="326" w:lineRule="exact"/>
        <w:ind w:left="714" w:hanging="357"/>
        <w:contextualSpacing/>
      </w:pPr>
      <w:r w:rsidRPr="00FC516B">
        <w:t>Withdrawal from study due to adverse events</w:t>
      </w:r>
    </w:p>
    <w:p w:rsidR="006B637D" w:rsidRDefault="006B637D" w:rsidP="00616EEC">
      <w:pPr>
        <w:pStyle w:val="afff6"/>
        <w:numPr>
          <w:ilvl w:val="0"/>
          <w:numId w:val="63"/>
        </w:numPr>
        <w:tabs>
          <w:tab w:val="clear" w:pos="510"/>
        </w:tabs>
        <w:spacing w:after="160" w:line="326" w:lineRule="exact"/>
        <w:ind w:left="714" w:hanging="357"/>
        <w:contextualSpacing/>
      </w:pPr>
      <w:r w:rsidRPr="00FC516B">
        <w:t xml:space="preserve">Stay at hospitals </w:t>
      </w:r>
      <w:r>
        <w:t>(We will not consider hospital visits</w:t>
      </w:r>
      <w:r w:rsidRPr="00FC516B">
        <w:t>)</w:t>
      </w:r>
    </w:p>
    <w:p w:rsidR="006B637D" w:rsidRDefault="006B637D" w:rsidP="00616EEC">
      <w:pPr>
        <w:pStyle w:val="afff6"/>
        <w:numPr>
          <w:ilvl w:val="0"/>
          <w:numId w:val="63"/>
        </w:numPr>
        <w:tabs>
          <w:tab w:val="clear" w:pos="510"/>
        </w:tabs>
        <w:spacing w:after="160" w:line="326" w:lineRule="exact"/>
        <w:ind w:left="714" w:hanging="357"/>
        <w:contextualSpacing/>
        <w:rPr>
          <w:lang w:val="en-GB"/>
        </w:rPr>
      </w:pPr>
      <w:r>
        <w:rPr>
          <w:lang w:val="en-GB"/>
        </w:rPr>
        <w:t>H</w:t>
      </w:r>
      <w:r w:rsidRPr="000A2104">
        <w:rPr>
          <w:lang w:val="en-GB"/>
        </w:rPr>
        <w:t>ealth related quality of life</w:t>
      </w:r>
      <w:r>
        <w:rPr>
          <w:lang w:val="en-GB"/>
        </w:rPr>
        <w:t xml:space="preserve"> EQ-5D</w:t>
      </w:r>
      <w:r w:rsidRPr="000A2104">
        <w:rPr>
          <w:lang w:val="en-GB"/>
        </w:rPr>
        <w:t xml:space="preserve"> </w:t>
      </w:r>
    </w:p>
    <w:p w:rsidR="006B637D" w:rsidRDefault="006B637D" w:rsidP="006B637D">
      <w:pPr>
        <w:pStyle w:val="afff6"/>
        <w:spacing w:after="160"/>
        <w:ind w:left="714"/>
        <w:rPr>
          <w:lang w:val="en-GB"/>
        </w:rPr>
      </w:pPr>
    </w:p>
    <w:p w:rsidR="006B637D" w:rsidRPr="00DA73DE" w:rsidRDefault="006B637D" w:rsidP="008D3713">
      <w:pPr>
        <w:pStyle w:val="NormalBilledplassering"/>
        <w:rPr>
          <w:b/>
          <w:u w:val="single"/>
          <w:lang w:val="en-GB"/>
        </w:rPr>
      </w:pPr>
      <w:r w:rsidRPr="00DA73DE">
        <w:rPr>
          <w:b/>
          <w:u w:val="single"/>
          <w:lang w:val="en-GB"/>
        </w:rPr>
        <w:t>The literature search and publications selection</w:t>
      </w:r>
    </w:p>
    <w:p w:rsidR="006B637D" w:rsidRPr="002C07F8" w:rsidRDefault="006B637D" w:rsidP="006B637D">
      <w:pPr>
        <w:jc w:val="both"/>
        <w:rPr>
          <w:b/>
          <w:i/>
        </w:rPr>
      </w:pPr>
      <w:r w:rsidRPr="002C07F8">
        <w:rPr>
          <w:b/>
          <w:i/>
        </w:rPr>
        <w:t>The literature search</w:t>
      </w:r>
    </w:p>
    <w:p w:rsidR="006B637D" w:rsidRDefault="006B637D" w:rsidP="006B637D">
      <w:pPr>
        <w:jc w:val="both"/>
      </w:pPr>
      <w:r w:rsidRPr="002307D6">
        <w:t xml:space="preserve">We will </w:t>
      </w:r>
      <w:r>
        <w:t xml:space="preserve">systematically search the literature using the following databases: </w:t>
      </w:r>
    </w:p>
    <w:p w:rsidR="006B637D" w:rsidRPr="00586B8F" w:rsidRDefault="006B637D" w:rsidP="00616EEC">
      <w:pPr>
        <w:pStyle w:val="afff6"/>
        <w:numPr>
          <w:ilvl w:val="0"/>
          <w:numId w:val="58"/>
        </w:numPr>
        <w:tabs>
          <w:tab w:val="clear" w:pos="510"/>
        </w:tabs>
        <w:spacing w:line="326" w:lineRule="exact"/>
        <w:contextualSpacing/>
        <w:jc w:val="both"/>
        <w:rPr>
          <w:rStyle w:val="dbname"/>
          <w:rFonts w:cstheme="minorHAnsi"/>
          <w:bCs/>
          <w:color w:val="0A0905"/>
          <w:szCs w:val="22"/>
          <w:shd w:val="clear" w:color="auto" w:fill="FFFFFF"/>
        </w:rPr>
      </w:pPr>
      <w:r w:rsidRPr="00586B8F">
        <w:rPr>
          <w:rStyle w:val="dbname"/>
          <w:rFonts w:cstheme="minorHAnsi"/>
          <w:bCs/>
          <w:color w:val="0A0905"/>
          <w:szCs w:val="22"/>
          <w:shd w:val="clear" w:color="auto" w:fill="FFFFFF"/>
        </w:rPr>
        <w:t>Ovid MEDLINE(R) In-Process &amp; Other Non-Indexed Citations and Ovid MEDLINE(R)</w:t>
      </w:r>
    </w:p>
    <w:p w:rsidR="006B637D" w:rsidRPr="00586B8F" w:rsidRDefault="006B637D" w:rsidP="00616EEC">
      <w:pPr>
        <w:pStyle w:val="afff6"/>
        <w:numPr>
          <w:ilvl w:val="0"/>
          <w:numId w:val="59"/>
        </w:numPr>
        <w:tabs>
          <w:tab w:val="clear" w:pos="510"/>
        </w:tabs>
        <w:spacing w:before="100" w:beforeAutospacing="1" w:after="100" w:afterAutospacing="1" w:line="326" w:lineRule="exact"/>
        <w:contextualSpacing/>
        <w:jc w:val="both"/>
        <w:rPr>
          <w:rStyle w:val="dbdate"/>
          <w:szCs w:val="22"/>
          <w:lang w:val="en-GB"/>
        </w:rPr>
      </w:pPr>
      <w:r w:rsidRPr="00586B8F">
        <w:rPr>
          <w:rStyle w:val="dbname"/>
          <w:rFonts w:cstheme="minorHAnsi"/>
          <w:bCs/>
          <w:color w:val="0A0905"/>
          <w:szCs w:val="22"/>
          <w:shd w:val="clear" w:color="auto" w:fill="FFFFFF"/>
        </w:rPr>
        <w:t>Embase</w:t>
      </w:r>
    </w:p>
    <w:p w:rsidR="006B637D" w:rsidRDefault="006B637D" w:rsidP="00616EEC">
      <w:pPr>
        <w:pStyle w:val="afff6"/>
        <w:numPr>
          <w:ilvl w:val="0"/>
          <w:numId w:val="59"/>
        </w:numPr>
        <w:tabs>
          <w:tab w:val="clear" w:pos="510"/>
        </w:tabs>
        <w:spacing w:before="100" w:beforeAutospacing="1" w:after="100" w:afterAutospacing="1" w:line="326" w:lineRule="exact"/>
        <w:contextualSpacing/>
        <w:jc w:val="both"/>
        <w:rPr>
          <w:szCs w:val="22"/>
          <w:lang w:val="en-GB"/>
        </w:rPr>
      </w:pPr>
      <w:r w:rsidRPr="00586B8F">
        <w:rPr>
          <w:rStyle w:val="dbname"/>
          <w:rFonts w:cstheme="minorHAnsi"/>
          <w:bCs/>
          <w:color w:val="0A0905"/>
          <w:szCs w:val="22"/>
          <w:shd w:val="clear" w:color="auto" w:fill="FFFFFF"/>
        </w:rPr>
        <w:t xml:space="preserve">Cochrane Library; Cochrane Database of Systematic Reviews, Other Reviews, Technology Assessments, </w:t>
      </w:r>
      <w:r w:rsidRPr="00586B8F">
        <w:rPr>
          <w:szCs w:val="22"/>
          <w:lang w:val="en-GB"/>
        </w:rPr>
        <w:t>Cochrane Central Register of Controlled Trials (Central)</w:t>
      </w:r>
    </w:p>
    <w:p w:rsidR="006B637D" w:rsidRPr="00586B8F" w:rsidRDefault="006B637D" w:rsidP="00616EEC">
      <w:pPr>
        <w:pStyle w:val="afff6"/>
        <w:numPr>
          <w:ilvl w:val="0"/>
          <w:numId w:val="58"/>
        </w:numPr>
        <w:tabs>
          <w:tab w:val="clear" w:pos="510"/>
        </w:tabs>
        <w:spacing w:line="326" w:lineRule="exact"/>
        <w:contextualSpacing/>
        <w:rPr>
          <w:rStyle w:val="apple-converted-space"/>
          <w:rFonts w:cstheme="minorHAnsi"/>
          <w:color w:val="0A0905"/>
          <w:szCs w:val="22"/>
          <w:shd w:val="clear" w:color="auto" w:fill="FFFFFF"/>
        </w:rPr>
      </w:pPr>
      <w:r w:rsidRPr="00586B8F">
        <w:rPr>
          <w:rStyle w:val="apple-converted-space"/>
          <w:rFonts w:cstheme="minorHAnsi"/>
          <w:color w:val="0A0905"/>
          <w:szCs w:val="22"/>
          <w:shd w:val="clear" w:color="auto" w:fill="FFFFFF"/>
        </w:rPr>
        <w:t>Centre for Reviews and Dissemination; DARE, HTA</w:t>
      </w:r>
    </w:p>
    <w:p w:rsidR="006B637D" w:rsidRPr="00586B8F" w:rsidRDefault="006B637D" w:rsidP="00616EEC">
      <w:pPr>
        <w:pStyle w:val="afff6"/>
        <w:numPr>
          <w:ilvl w:val="0"/>
          <w:numId w:val="58"/>
        </w:numPr>
        <w:tabs>
          <w:tab w:val="clear" w:pos="510"/>
        </w:tabs>
        <w:spacing w:line="326" w:lineRule="exact"/>
        <w:contextualSpacing/>
        <w:jc w:val="both"/>
        <w:rPr>
          <w:rStyle w:val="apple-converted-space"/>
          <w:rFonts w:cstheme="minorHAnsi"/>
          <w:color w:val="0A0905"/>
          <w:szCs w:val="22"/>
          <w:shd w:val="clear" w:color="auto" w:fill="FFFFFF"/>
        </w:rPr>
      </w:pPr>
      <w:r w:rsidRPr="00586B8F">
        <w:rPr>
          <w:rStyle w:val="apple-converted-space"/>
          <w:rFonts w:cstheme="minorHAnsi"/>
          <w:bCs/>
          <w:color w:val="0A0905"/>
          <w:szCs w:val="22"/>
          <w:shd w:val="clear" w:color="auto" w:fill="FFFFFF"/>
        </w:rPr>
        <w:t>ISI web of Science</w:t>
      </w:r>
    </w:p>
    <w:p w:rsidR="006B637D" w:rsidRPr="00586B8F" w:rsidRDefault="006B637D" w:rsidP="00616EEC">
      <w:pPr>
        <w:pStyle w:val="afff6"/>
        <w:numPr>
          <w:ilvl w:val="0"/>
          <w:numId w:val="58"/>
        </w:numPr>
        <w:tabs>
          <w:tab w:val="clear" w:pos="510"/>
        </w:tabs>
        <w:spacing w:line="326" w:lineRule="exact"/>
        <w:contextualSpacing/>
        <w:jc w:val="both"/>
        <w:rPr>
          <w:rStyle w:val="apple-converted-space"/>
          <w:rFonts w:cstheme="minorHAnsi"/>
          <w:color w:val="0A0905"/>
          <w:szCs w:val="22"/>
          <w:shd w:val="clear" w:color="auto" w:fill="FFFFFF"/>
        </w:rPr>
      </w:pPr>
      <w:r w:rsidRPr="00586B8F">
        <w:rPr>
          <w:rStyle w:val="apple-converted-space"/>
          <w:rFonts w:cstheme="minorHAnsi"/>
          <w:bCs/>
          <w:color w:val="0A0905"/>
          <w:szCs w:val="22"/>
          <w:shd w:val="clear" w:color="auto" w:fill="FFFFFF"/>
        </w:rPr>
        <w:t>PubMed (epub ahead of print)</w:t>
      </w:r>
    </w:p>
    <w:p w:rsidR="006B637D" w:rsidRPr="00586B8F" w:rsidRDefault="006B637D" w:rsidP="00616EEC">
      <w:pPr>
        <w:pStyle w:val="afff6"/>
        <w:numPr>
          <w:ilvl w:val="0"/>
          <w:numId w:val="58"/>
        </w:numPr>
        <w:tabs>
          <w:tab w:val="clear" w:pos="510"/>
        </w:tabs>
        <w:spacing w:line="326" w:lineRule="exact"/>
        <w:contextualSpacing/>
        <w:jc w:val="both"/>
        <w:rPr>
          <w:rStyle w:val="apple-converted-space"/>
          <w:rFonts w:cstheme="minorHAnsi"/>
          <w:color w:val="0A0905"/>
          <w:szCs w:val="22"/>
          <w:shd w:val="clear" w:color="auto" w:fill="FFFFFF"/>
        </w:rPr>
      </w:pPr>
      <w:r w:rsidRPr="00586B8F">
        <w:rPr>
          <w:rStyle w:val="apple-converted-space"/>
          <w:rFonts w:cstheme="minorHAnsi"/>
          <w:bCs/>
          <w:color w:val="0A0905"/>
          <w:szCs w:val="22"/>
          <w:shd w:val="clear" w:color="auto" w:fill="FFFFFF"/>
        </w:rPr>
        <w:t>Epistemonikos</w:t>
      </w:r>
    </w:p>
    <w:p w:rsidR="006B637D" w:rsidRPr="00586B8F" w:rsidRDefault="006B637D" w:rsidP="006B637D">
      <w:pPr>
        <w:jc w:val="both"/>
      </w:pPr>
    </w:p>
    <w:p w:rsidR="006B637D" w:rsidRPr="00586B8F" w:rsidRDefault="006B637D" w:rsidP="006B637D">
      <w:pPr>
        <w:rPr>
          <w:color w:val="000000" w:themeColor="text1"/>
        </w:rPr>
      </w:pPr>
      <w:r w:rsidRPr="00586B8F">
        <w:rPr>
          <w:color w:val="000000" w:themeColor="text1"/>
        </w:rPr>
        <w:t xml:space="preserve">We will also hand search the following websites: </w:t>
      </w:r>
    </w:p>
    <w:p w:rsidR="006B637D" w:rsidRPr="00586B8F" w:rsidRDefault="006B637D" w:rsidP="00616EEC">
      <w:pPr>
        <w:pStyle w:val="afff6"/>
        <w:numPr>
          <w:ilvl w:val="0"/>
          <w:numId w:val="64"/>
        </w:numPr>
        <w:shd w:val="clear" w:color="auto" w:fill="FFFFFF" w:themeFill="background1"/>
        <w:tabs>
          <w:tab w:val="clear" w:pos="510"/>
        </w:tabs>
        <w:spacing w:line="326" w:lineRule="exact"/>
        <w:contextualSpacing/>
        <w:rPr>
          <w:color w:val="000000" w:themeColor="text1"/>
          <w:szCs w:val="22"/>
        </w:rPr>
      </w:pPr>
      <w:r w:rsidRPr="00586B8F">
        <w:rPr>
          <w:color w:val="000000" w:themeColor="text1"/>
          <w:szCs w:val="22"/>
        </w:rPr>
        <w:t>Canadian Agency for Drugs and Technologies in Health (CADTH)</w:t>
      </w:r>
    </w:p>
    <w:p w:rsidR="006B637D" w:rsidRPr="00586B8F" w:rsidRDefault="006B637D" w:rsidP="00616EEC">
      <w:pPr>
        <w:pStyle w:val="afff6"/>
        <w:numPr>
          <w:ilvl w:val="0"/>
          <w:numId w:val="64"/>
        </w:numPr>
        <w:shd w:val="clear" w:color="auto" w:fill="FFFFFF" w:themeFill="background1"/>
        <w:tabs>
          <w:tab w:val="clear" w:pos="510"/>
        </w:tabs>
        <w:spacing w:line="326" w:lineRule="exact"/>
        <w:contextualSpacing/>
        <w:rPr>
          <w:color w:val="000000" w:themeColor="text1"/>
          <w:szCs w:val="22"/>
        </w:rPr>
      </w:pPr>
      <w:r w:rsidRPr="00586B8F">
        <w:rPr>
          <w:color w:val="000000" w:themeColor="text1"/>
          <w:szCs w:val="22"/>
          <w:shd w:val="clear" w:color="auto" w:fill="FFFFFF" w:themeFill="background1"/>
        </w:rPr>
        <w:t>A</w:t>
      </w:r>
      <w:r w:rsidRPr="00586B8F">
        <w:rPr>
          <w:rFonts w:cs="Arial"/>
          <w:bCs/>
          <w:color w:val="000000" w:themeColor="text1"/>
          <w:szCs w:val="22"/>
          <w:shd w:val="clear" w:color="auto" w:fill="FFFFFF" w:themeFill="background1"/>
        </w:rPr>
        <w:t xml:space="preserve">gency for Healthcare Research and Quality (AHRQ), </w:t>
      </w:r>
    </w:p>
    <w:p w:rsidR="006B637D" w:rsidRPr="00586B8F" w:rsidRDefault="00204467" w:rsidP="00616EEC">
      <w:pPr>
        <w:pStyle w:val="afff6"/>
        <w:numPr>
          <w:ilvl w:val="0"/>
          <w:numId w:val="64"/>
        </w:numPr>
        <w:shd w:val="clear" w:color="auto" w:fill="FFFFFF" w:themeFill="background1"/>
        <w:tabs>
          <w:tab w:val="clear" w:pos="510"/>
        </w:tabs>
        <w:spacing w:line="326" w:lineRule="exact"/>
        <w:contextualSpacing/>
        <w:rPr>
          <w:color w:val="000000" w:themeColor="text1"/>
          <w:szCs w:val="22"/>
        </w:rPr>
      </w:pPr>
      <w:hyperlink r:id="rId7" w:history="1">
        <w:r w:rsidR="006B637D" w:rsidRPr="008D3713">
          <w:rPr>
            <w:rStyle w:val="afff4"/>
            <w:b w:val="0"/>
            <w:color w:val="000000" w:themeColor="text1"/>
            <w:szCs w:val="22"/>
            <w:shd w:val="clear" w:color="auto" w:fill="FFFFFF"/>
          </w:rPr>
          <w:t>FinOHTA</w:t>
        </w:r>
        <w:r w:rsidR="006B637D" w:rsidRPr="00586B8F">
          <w:rPr>
            <w:rStyle w:val="apple-converted-space"/>
            <w:b/>
            <w:bCs/>
            <w:color w:val="000000" w:themeColor="text1"/>
            <w:szCs w:val="22"/>
            <w:shd w:val="clear" w:color="auto" w:fill="FFFFFF"/>
          </w:rPr>
          <w:t> </w:t>
        </w:r>
        <w:r w:rsidR="006B637D" w:rsidRPr="00586B8F">
          <w:rPr>
            <w:rStyle w:val="ae"/>
            <w:color w:val="000000" w:themeColor="text1"/>
            <w:szCs w:val="22"/>
            <w:shd w:val="clear" w:color="auto" w:fill="FFFFFF"/>
          </w:rPr>
          <w:t>- Finnish Office for Health Technology Assessment</w:t>
        </w:r>
      </w:hyperlink>
    </w:p>
    <w:p w:rsidR="006B637D" w:rsidRPr="006B637D" w:rsidRDefault="006B637D" w:rsidP="00616EEC">
      <w:pPr>
        <w:pStyle w:val="afff6"/>
        <w:numPr>
          <w:ilvl w:val="0"/>
          <w:numId w:val="64"/>
        </w:numPr>
        <w:shd w:val="clear" w:color="auto" w:fill="FFFFFF" w:themeFill="background1"/>
        <w:tabs>
          <w:tab w:val="clear" w:pos="510"/>
        </w:tabs>
        <w:spacing w:line="326" w:lineRule="exact"/>
        <w:contextualSpacing/>
        <w:rPr>
          <w:color w:val="000000" w:themeColor="text1"/>
          <w:szCs w:val="22"/>
          <w:lang w:val="nb-NO"/>
        </w:rPr>
      </w:pPr>
      <w:r w:rsidRPr="006B637D">
        <w:rPr>
          <w:color w:val="000000" w:themeColor="text1"/>
          <w:szCs w:val="22"/>
          <w:shd w:val="clear" w:color="auto" w:fill="FFFFFF" w:themeFill="background1"/>
          <w:lang w:val="nb-NO"/>
        </w:rPr>
        <w:t>Statens beredning för medicinsk utvärdering (SBU)</w:t>
      </w:r>
    </w:p>
    <w:p w:rsidR="006B637D" w:rsidRPr="00586B8F" w:rsidRDefault="006B637D" w:rsidP="00616EEC">
      <w:pPr>
        <w:pStyle w:val="afff6"/>
        <w:numPr>
          <w:ilvl w:val="0"/>
          <w:numId w:val="64"/>
        </w:numPr>
        <w:shd w:val="clear" w:color="auto" w:fill="FFFFFF" w:themeFill="background1"/>
        <w:tabs>
          <w:tab w:val="clear" w:pos="510"/>
        </w:tabs>
        <w:spacing w:line="326" w:lineRule="exact"/>
        <w:contextualSpacing/>
        <w:rPr>
          <w:color w:val="000000" w:themeColor="text1"/>
          <w:szCs w:val="22"/>
        </w:rPr>
      </w:pPr>
      <w:r w:rsidRPr="00586B8F">
        <w:rPr>
          <w:color w:val="000000" w:themeColor="text1"/>
          <w:szCs w:val="22"/>
          <w:shd w:val="clear" w:color="auto" w:fill="FFFFFF" w:themeFill="background1"/>
        </w:rPr>
        <w:t xml:space="preserve">EUnetHTA POP database (POP = </w:t>
      </w:r>
      <w:r w:rsidRPr="00586B8F">
        <w:rPr>
          <w:color w:val="000000" w:themeColor="text1"/>
          <w:szCs w:val="22"/>
          <w:shd w:val="clear" w:color="auto" w:fill="FFFFFF"/>
        </w:rPr>
        <w:t>Planned and Ongoing Projects)</w:t>
      </w:r>
    </w:p>
    <w:p w:rsidR="006B637D" w:rsidRPr="00586B8F" w:rsidRDefault="006B637D" w:rsidP="00616EEC">
      <w:pPr>
        <w:pStyle w:val="afff6"/>
        <w:numPr>
          <w:ilvl w:val="0"/>
          <w:numId w:val="64"/>
        </w:numPr>
        <w:tabs>
          <w:tab w:val="clear" w:pos="510"/>
        </w:tabs>
        <w:spacing w:line="326" w:lineRule="exact"/>
        <w:contextualSpacing/>
        <w:jc w:val="both"/>
        <w:rPr>
          <w:rStyle w:val="apple-converted-space"/>
          <w:rFonts w:cstheme="minorHAnsi"/>
          <w:color w:val="0A0905"/>
          <w:szCs w:val="22"/>
          <w:shd w:val="clear" w:color="auto" w:fill="FFFFFF"/>
        </w:rPr>
      </w:pPr>
      <w:r w:rsidRPr="00586B8F">
        <w:rPr>
          <w:rStyle w:val="apple-converted-space"/>
          <w:rFonts w:cstheme="minorHAnsi"/>
          <w:bCs/>
          <w:color w:val="000000" w:themeColor="text1"/>
          <w:szCs w:val="22"/>
          <w:shd w:val="clear" w:color="auto" w:fill="FFFFFF"/>
        </w:rPr>
        <w:t>PROSPERO – Centre for Reviews and Dissemination</w:t>
      </w:r>
    </w:p>
    <w:p w:rsidR="006B637D" w:rsidRPr="00B305FE" w:rsidRDefault="006B637D" w:rsidP="006B637D">
      <w:pPr>
        <w:jc w:val="both"/>
        <w:rPr>
          <w:lang w:val="en-US"/>
        </w:rPr>
      </w:pPr>
    </w:p>
    <w:p w:rsidR="006B637D" w:rsidRPr="003528BE" w:rsidRDefault="006B637D" w:rsidP="006B637D">
      <w:pPr>
        <w:spacing w:before="100" w:beforeAutospacing="1" w:after="100" w:afterAutospacing="1"/>
        <w:jc w:val="both"/>
        <w:rPr>
          <w:rStyle w:val="apple-converted-space"/>
        </w:rPr>
      </w:pPr>
      <w:r w:rsidRPr="003528BE">
        <w:t>The research librarian</w:t>
      </w:r>
      <w:r w:rsidRPr="003528BE">
        <w:rPr>
          <w:rStyle w:val="apple-converted-space"/>
          <w:rFonts w:cstheme="minorHAnsi"/>
          <w:bCs/>
          <w:color w:val="0A0905"/>
          <w:shd w:val="clear" w:color="auto" w:fill="FFFFFF"/>
          <w:lang w:val="en-US"/>
        </w:rPr>
        <w:t>/information specialist</w:t>
      </w:r>
      <w:r w:rsidRPr="003528BE">
        <w:t xml:space="preserve"> (</w:t>
      </w:r>
      <w:r w:rsidRPr="003528BE">
        <w:rPr>
          <w:rStyle w:val="apple-converted-space"/>
          <w:rFonts w:cstheme="minorHAnsi"/>
          <w:bCs/>
          <w:color w:val="0A0905"/>
          <w:shd w:val="clear" w:color="auto" w:fill="FFFFFF"/>
          <w:lang w:val="en-US"/>
        </w:rPr>
        <w:t>in collaboration with the project team</w:t>
      </w:r>
      <w:r w:rsidRPr="003528BE">
        <w:t xml:space="preserve">) will conduct the literature search using index terms </w:t>
      </w:r>
      <w:r w:rsidRPr="003528BE">
        <w:rPr>
          <w:lang w:val="en-US"/>
        </w:rPr>
        <w:t xml:space="preserve">(Medical Subject Headings and EMTREE terms), </w:t>
      </w:r>
      <w:r w:rsidRPr="003528BE">
        <w:t xml:space="preserve">and free text terms relating to the population and the interventions of interest. </w:t>
      </w:r>
      <w:r w:rsidRPr="003528BE">
        <w:rPr>
          <w:lang w:val="en-US"/>
        </w:rPr>
        <w:t xml:space="preserve">All retrieved articles published in the period covered by these databases until the date of search will be considered. </w:t>
      </w:r>
      <w:r w:rsidRPr="003528BE">
        <w:rPr>
          <w:rStyle w:val="apple-converted-space"/>
          <w:rFonts w:cstheme="minorHAnsi"/>
          <w:bCs/>
          <w:color w:val="0A0905"/>
          <w:shd w:val="clear" w:color="auto" w:fill="FFFFFF"/>
          <w:lang w:val="en-US"/>
        </w:rPr>
        <w:t xml:space="preserve">The search will be supplemented with relevant papers found in bibliographies of selected articles. WHO ICTRP and </w:t>
      </w:r>
      <w:r w:rsidRPr="003528BE">
        <w:rPr>
          <w:sz w:val="24"/>
          <w:szCs w:val="24"/>
          <w:lang w:val="en-US"/>
        </w:rPr>
        <w:t xml:space="preserve">ClinicalTrials </w:t>
      </w:r>
      <w:r w:rsidRPr="003528BE">
        <w:rPr>
          <w:rStyle w:val="apple-converted-space"/>
          <w:rFonts w:cstheme="minorHAnsi"/>
          <w:bCs/>
          <w:color w:val="0A0905"/>
          <w:shd w:val="clear" w:color="auto" w:fill="FFFFFF"/>
          <w:lang w:val="en-US"/>
        </w:rPr>
        <w:t>will be searched to identify relevant</w:t>
      </w:r>
      <w:r w:rsidRPr="003528BE">
        <w:rPr>
          <w:lang w:val="en-US"/>
        </w:rPr>
        <w:t xml:space="preserve"> ongoing or unpublished trials.</w:t>
      </w:r>
      <w:r w:rsidRPr="003528BE">
        <w:rPr>
          <w:rStyle w:val="apple-converted-space"/>
          <w:rFonts w:cstheme="minorHAnsi"/>
          <w:bCs/>
          <w:color w:val="0A0905"/>
          <w:shd w:val="clear" w:color="auto" w:fill="FFFFFF"/>
          <w:lang w:val="en-US"/>
        </w:rPr>
        <w:t xml:space="preserve"> </w:t>
      </w:r>
    </w:p>
    <w:p w:rsidR="006B637D" w:rsidRPr="002C07F8" w:rsidRDefault="006B637D" w:rsidP="006B637D">
      <w:pPr>
        <w:jc w:val="both"/>
        <w:rPr>
          <w:b/>
          <w:i/>
        </w:rPr>
      </w:pPr>
      <w:r w:rsidRPr="002C07F8">
        <w:rPr>
          <w:b/>
          <w:i/>
        </w:rPr>
        <w:t>Publications selection process</w:t>
      </w:r>
    </w:p>
    <w:p w:rsidR="006B637D" w:rsidRDefault="006B637D" w:rsidP="006B637D">
      <w:pPr>
        <w:jc w:val="both"/>
      </w:pPr>
      <w:r>
        <w:t xml:space="preserve">We will select articles that will be included in the systematic review through two steps. In both steps, two persons will work independently considering inclusion criteria. In the first step, these two persons will read all titles and abstracts retrieved by the literature search and select possible relevant full-articles. Any disagreement will be discussed between the two to reach a consensus on which full-text articles should be considered in the second step of the selection process. In the second step, the persons will read all the selected full text articles to decide which articles should be included in the systematic review. In case of disagreement, similarly as described above, the two persons will discuss to reach an agreement. In both steps, if necessary, a third person will help and/or the publication authors will be contacted to retrieve the necessary information to reach an agreement. </w:t>
      </w:r>
    </w:p>
    <w:p w:rsidR="006B637D" w:rsidRPr="008D3713" w:rsidRDefault="006B637D" w:rsidP="008D3713">
      <w:pPr>
        <w:rPr>
          <w:b/>
        </w:rPr>
      </w:pPr>
      <w:r w:rsidRPr="002C07F8">
        <w:t xml:space="preserve"> </w:t>
      </w:r>
      <w:r w:rsidRPr="008D3713">
        <w:rPr>
          <w:b/>
        </w:rPr>
        <w:t>Ascertaining quality of SR and risk of bias of individual included studies</w:t>
      </w:r>
    </w:p>
    <w:p w:rsidR="006B637D" w:rsidRPr="00517045" w:rsidRDefault="006B637D" w:rsidP="006B637D">
      <w:pPr>
        <w:rPr>
          <w:b/>
          <w:i/>
        </w:rPr>
      </w:pPr>
      <w:r w:rsidRPr="00517045">
        <w:rPr>
          <w:b/>
          <w:i/>
        </w:rPr>
        <w:t>Assessment of quality of SR(s)</w:t>
      </w:r>
    </w:p>
    <w:p w:rsidR="006B637D" w:rsidRPr="004A5154" w:rsidRDefault="006B637D" w:rsidP="006B637D">
      <w:pPr>
        <w:jc w:val="both"/>
      </w:pPr>
      <w:r w:rsidRPr="004A5154">
        <w:t xml:space="preserve">The quality of </w:t>
      </w:r>
      <w:r>
        <w:t>p</w:t>
      </w:r>
      <w:r w:rsidRPr="004A5154">
        <w:t>ossible identified SR</w:t>
      </w:r>
      <w:r>
        <w:t xml:space="preserve"> will be ascertained</w:t>
      </w:r>
      <w:r w:rsidRPr="004A5154">
        <w:t xml:space="preserve"> using the</w:t>
      </w:r>
      <w:r w:rsidRPr="003068A8">
        <w:t xml:space="preserve"> checklist for SR</w:t>
      </w:r>
      <w:r>
        <w:t xml:space="preserve"> of</w:t>
      </w:r>
      <w:r w:rsidRPr="00BF0D2B">
        <w:t xml:space="preserve"> the handbook of </w:t>
      </w:r>
      <w:r w:rsidRPr="00BF0D2B">
        <w:rPr>
          <w:rFonts w:cs="Helvetica"/>
          <w:color w:val="333333"/>
          <w:shd w:val="clear" w:color="auto" w:fill="FFFFFF"/>
          <w:lang w:val="en-US"/>
        </w:rPr>
        <w:t>The Norwegian Knowledge Centre for the Health Services</w:t>
      </w:r>
      <w:r>
        <w:rPr>
          <w:rFonts w:cs="Helvetica"/>
          <w:color w:val="333333"/>
          <w:shd w:val="clear" w:color="auto" w:fill="FFFFFF"/>
          <w:lang w:val="en-US"/>
        </w:rPr>
        <w:t xml:space="preserve"> (</w:t>
      </w:r>
      <w:r>
        <w:t>Kunnskapssenteret)</w:t>
      </w:r>
      <w:r w:rsidRPr="00BF0D2B">
        <w:rPr>
          <w:rStyle w:val="apple-converted-space"/>
          <w:rFonts w:ascii="Helvetica" w:hAnsi="Helvetica" w:cs="Helvetica"/>
          <w:color w:val="333333"/>
          <w:sz w:val="26"/>
          <w:szCs w:val="26"/>
          <w:shd w:val="clear" w:color="auto" w:fill="FFFFFF"/>
          <w:lang w:val="en-US"/>
        </w:rPr>
        <w:t> </w:t>
      </w:r>
      <w:r>
        <w:t xml:space="preserve"> </w:t>
      </w:r>
      <w:r w:rsidR="00204467">
        <w:fldChar w:fldCharType="begin"/>
      </w:r>
      <w:r>
        <w:instrText xml:space="preserve"> ADDIN EN.CITE &lt;EndNote&gt;&lt;Cite&gt;&lt;Author&gt;helsetjenesten&lt;/Author&gt;&lt;Year&gt;2013&lt;/Year&gt;&lt;RecNum&gt;15&lt;/RecNum&gt;&lt;DisplayText&gt;(6)&lt;/DisplayText&gt;&lt;record&gt;&lt;rec-number&gt;15&lt;/rec-number&gt;&lt;foreign-keys&gt;&lt;key app="EN" db-id="5v92t2t9i9wzrpexw2ox0eso5t9xfrxtd0sv" timestamp="1424865566"&gt;15&lt;/key&gt;&lt;/foreign-keys&gt;&lt;ref-type name="Book"&gt;6&lt;/ref-type&gt;&lt;contributors&gt;&lt;authors&gt;&lt;author&gt;Nasjonalt kunnskapssenter for helsetjenesten&lt;/author&gt;&lt;/authors&gt;&lt;/contributors&gt;&lt;titles&gt;&lt;title&gt;Slik oppsummerer vi forskning. Håndbok for Nasjonalt kunnskapssenter for helsetjenesten. 3.2. reviderte utg. 2013&lt;/title&gt;&lt;/titles&gt;&lt;dates&gt;&lt;year&gt;2013&lt;/year&gt;&lt;/dates&gt;&lt;urls&gt;&lt;/urls&gt;&lt;/record&gt;&lt;/Cite&gt;&lt;/EndNote&gt;</w:instrText>
      </w:r>
      <w:r w:rsidR="00204467">
        <w:fldChar w:fldCharType="separate"/>
      </w:r>
      <w:r>
        <w:rPr>
          <w:noProof/>
        </w:rPr>
        <w:t>(</w:t>
      </w:r>
      <w:hyperlink w:anchor="_ENREF_6" w:tooltip="helsetjenesten, 2013 #15" w:history="1">
        <w:r>
          <w:rPr>
            <w:noProof/>
          </w:rPr>
          <w:t>6</w:t>
        </w:r>
      </w:hyperlink>
      <w:r>
        <w:rPr>
          <w:noProof/>
        </w:rPr>
        <w:t>)</w:t>
      </w:r>
      <w:r w:rsidR="00204467">
        <w:fldChar w:fldCharType="end"/>
      </w:r>
      <w:r w:rsidRPr="004A5154">
        <w:t>.</w:t>
      </w:r>
    </w:p>
    <w:p w:rsidR="006B637D" w:rsidRPr="002C07F8" w:rsidRDefault="006B637D" w:rsidP="006B637D">
      <w:pPr>
        <w:jc w:val="both"/>
        <w:rPr>
          <w:b/>
          <w:i/>
        </w:rPr>
      </w:pPr>
      <w:r w:rsidRPr="002C07F8">
        <w:rPr>
          <w:b/>
          <w:i/>
        </w:rPr>
        <w:t>Risk of bias</w:t>
      </w:r>
    </w:p>
    <w:p w:rsidR="006B637D" w:rsidRDefault="006B637D" w:rsidP="006B637D">
      <w:pPr>
        <w:jc w:val="both"/>
      </w:pPr>
      <w:r w:rsidRPr="001B1EBF">
        <w:t xml:space="preserve">Individual included </w:t>
      </w:r>
      <w:r>
        <w:t>RCTs</w:t>
      </w:r>
      <w:r w:rsidRPr="001B1EBF">
        <w:t xml:space="preserve"> will be assessed for possible risk of bias using the Cochrane Collaboration tool for assessing risk of bia</w:t>
      </w:r>
      <w:r>
        <w:t xml:space="preserve">s </w:t>
      </w:r>
      <w:r w:rsidR="00204467">
        <w:fldChar w:fldCharType="begin"/>
      </w:r>
      <w:r>
        <w:instrText xml:space="preserve"> ADDIN EN.CITE &lt;EndNote&gt;&lt;Cite ExcludeAuth="1" ExcludeYear="1"&gt;&lt;RecNum&gt;11&lt;/RecNum&gt;&lt;DisplayText&gt;(7)&lt;/DisplayText&gt;&lt;record&gt;&lt;rec-number&gt;11&lt;/rec-number&gt;&lt;foreign-keys&gt;&lt;key app="EN" db-id="5v92t2t9i9wzrpexw2ox0eso5t9xfrxtd0sv" timestamp="1423754589"&gt;11&lt;/key&gt;&lt;/foreign-keys&gt;&lt;ref-type name="Web Page"&gt;12&lt;/ref-type&gt;&lt;contributors&gt;&lt;/contributors&gt;&lt;titles&gt;&lt;title&gt;http://www.gradeworkinggroup.org/&lt;/title&gt;&lt;/titles&gt;&lt;number&gt;12/02/2015&lt;/number&gt;&lt;dates&gt;&lt;/dates&gt;&lt;urls&gt;&lt;/urls&gt;&lt;/record&gt;&lt;/Cite&gt;&lt;/EndNote&gt;</w:instrText>
      </w:r>
      <w:r w:rsidR="00204467">
        <w:fldChar w:fldCharType="separate"/>
      </w:r>
      <w:r>
        <w:rPr>
          <w:noProof/>
        </w:rPr>
        <w:t>(</w:t>
      </w:r>
      <w:hyperlink w:anchor="_ENREF_7" w:tooltip=",  #11" w:history="1">
        <w:r>
          <w:rPr>
            <w:noProof/>
          </w:rPr>
          <w:t>7</w:t>
        </w:r>
      </w:hyperlink>
      <w:r>
        <w:rPr>
          <w:noProof/>
        </w:rPr>
        <w:t>)</w:t>
      </w:r>
      <w:r w:rsidR="00204467">
        <w:fldChar w:fldCharType="end"/>
      </w:r>
      <w:r w:rsidRPr="001B1EBF">
        <w:t xml:space="preserve">. </w:t>
      </w:r>
      <w:r>
        <w:t>R</w:t>
      </w:r>
      <w:r w:rsidRPr="001B1EBF">
        <w:t>isk of bias will be rated as low risk of bias, unclear risk of bias</w:t>
      </w:r>
      <w:r>
        <w:t>, or high risk of bias</w:t>
      </w:r>
      <w:r w:rsidRPr="001B1EBF">
        <w:t>.</w:t>
      </w:r>
    </w:p>
    <w:p w:rsidR="006B637D" w:rsidRPr="008D3713" w:rsidRDefault="006B637D" w:rsidP="008D3713">
      <w:pPr>
        <w:rPr>
          <w:b/>
        </w:rPr>
      </w:pPr>
      <w:r w:rsidRPr="008D3713">
        <w:rPr>
          <w:b/>
        </w:rPr>
        <w:t>Data collection and analysis</w:t>
      </w:r>
    </w:p>
    <w:p w:rsidR="006B637D" w:rsidRPr="00517045" w:rsidRDefault="006B637D" w:rsidP="006B637D">
      <w:pPr>
        <w:rPr>
          <w:b/>
          <w:i/>
          <w:u w:val="single"/>
        </w:rPr>
      </w:pPr>
      <w:r w:rsidRPr="00517045">
        <w:rPr>
          <w:b/>
          <w:i/>
        </w:rPr>
        <w:t xml:space="preserve">Data extraction </w:t>
      </w:r>
    </w:p>
    <w:p w:rsidR="006B637D" w:rsidRDefault="006B637D" w:rsidP="006B637D">
      <w:pPr>
        <w:jc w:val="both"/>
      </w:pPr>
      <w:r>
        <w:t xml:space="preserve">One of the two </w:t>
      </w:r>
      <w:r w:rsidRPr="004B6AC8">
        <w:t xml:space="preserve">review authors will </w:t>
      </w:r>
      <w:r>
        <w:t xml:space="preserve">extract the data from the selected publications. The second will verify the data. </w:t>
      </w:r>
    </w:p>
    <w:p w:rsidR="006B637D" w:rsidRPr="006A77CD" w:rsidRDefault="006B637D" w:rsidP="006B637D">
      <w:pPr>
        <w:jc w:val="both"/>
        <w:rPr>
          <w:u w:val="single"/>
        </w:rPr>
      </w:pPr>
      <w:r w:rsidRPr="006A77CD">
        <w:rPr>
          <w:u w:val="single"/>
        </w:rPr>
        <w:t>Data extraction of systematic review(s)</w:t>
      </w:r>
    </w:p>
    <w:p w:rsidR="006B637D" w:rsidRDefault="006B637D" w:rsidP="006B637D">
      <w:pPr>
        <w:jc w:val="both"/>
      </w:pPr>
      <w:r w:rsidRPr="009D4BCA">
        <w:t xml:space="preserve">We will </w:t>
      </w:r>
      <w:r>
        <w:t>extract t</w:t>
      </w:r>
      <w:r w:rsidRPr="009D4BCA">
        <w:t xml:space="preserve">he following data: </w:t>
      </w:r>
      <w:r>
        <w:t>publication information</w:t>
      </w:r>
      <w:r w:rsidRPr="009D4BCA">
        <w:t xml:space="preserve"> </w:t>
      </w:r>
      <w:r>
        <w:t xml:space="preserve">(authors, year of publication), date of the literature search, characteristics </w:t>
      </w:r>
      <w:r w:rsidRPr="009D4BCA">
        <w:t>of included</w:t>
      </w:r>
      <w:r>
        <w:t xml:space="preserve"> studies (study design, o</w:t>
      </w:r>
      <w:r w:rsidRPr="009D4BCA">
        <w:t>rigin</w:t>
      </w:r>
      <w:r>
        <w:t xml:space="preserve">, </w:t>
      </w:r>
      <w:r w:rsidRPr="009D4BCA">
        <w:t>setting</w:t>
      </w:r>
      <w:r>
        <w:t xml:space="preserve">, comparisons and endpoints used), and information on </w:t>
      </w:r>
      <w:r w:rsidRPr="009D4BCA">
        <w:t>quality assessment</w:t>
      </w:r>
      <w:r>
        <w:t>. We will extract data from primary RCTs included in SR as described below.</w:t>
      </w:r>
    </w:p>
    <w:p w:rsidR="006B637D" w:rsidRPr="006A77CD" w:rsidRDefault="006B637D" w:rsidP="006B637D">
      <w:pPr>
        <w:jc w:val="both"/>
        <w:rPr>
          <w:u w:val="single"/>
        </w:rPr>
      </w:pPr>
      <w:r w:rsidRPr="006A77CD">
        <w:rPr>
          <w:u w:val="single"/>
        </w:rPr>
        <w:t>Data extraction of RCTs</w:t>
      </w:r>
    </w:p>
    <w:p w:rsidR="006B637D" w:rsidRDefault="006B637D" w:rsidP="006B637D">
      <w:pPr>
        <w:jc w:val="both"/>
      </w:pPr>
      <w:r>
        <w:t>The following data will be extracted: information on publication (authors names, year of publication), RCT description (design and setting, clinical trial identification, source of funding), participants characteristics (number of participants in the trial, age, and gender, MS diagnosis, length of disease), description of intervention and comparison (when provided, we will extract data considering medicine doses)</w:t>
      </w:r>
      <w:r w:rsidRPr="00334A0B">
        <w:t>,</w:t>
      </w:r>
      <w:r>
        <w:t xml:space="preserve"> and outcomes (number of events, methods used to ascertain outcome data, estimates of risk, length of follow-up). </w:t>
      </w:r>
    </w:p>
    <w:p w:rsidR="006B637D" w:rsidRDefault="006B637D" w:rsidP="006B637D">
      <w:pPr>
        <w:jc w:val="both"/>
        <w:rPr>
          <w:u w:val="single"/>
        </w:rPr>
      </w:pPr>
      <w:r>
        <w:rPr>
          <w:u w:val="single"/>
        </w:rPr>
        <w:t>Measures of treatment effect</w:t>
      </w:r>
    </w:p>
    <w:p w:rsidR="006B637D" w:rsidRDefault="006B637D" w:rsidP="006B637D">
      <w:pPr>
        <w:jc w:val="both"/>
      </w:pPr>
      <w:r w:rsidRPr="003633F0">
        <w:t xml:space="preserve">We will express the comparative effectiveness of the treatments as the relative risk (RR) </w:t>
      </w:r>
      <w:r>
        <w:t>for dichotomous outcomes and the mean difference (MD) for continuous</w:t>
      </w:r>
      <w:r w:rsidRPr="003633F0">
        <w:t xml:space="preserve"> outcome</w:t>
      </w:r>
      <w:r>
        <w:t>s. If a continuous outcome has been measured/reported using different instruments/scales in the included RCTs we will calculate the standardised mean difference (SMD). For all outcomes 95% confidence intervals (CI, results from pairwise meta-analyses) or credibility intervals (CrI, results from Network meta-analyses) will be calculated for the RR, MD or SMD</w:t>
      </w:r>
      <w:r w:rsidRPr="003633F0">
        <w:t xml:space="preserve">. The credibility interval is the Bayesian analogue to confidence intervals used in traditional frequentist statistical approaches. We will consider </w:t>
      </w:r>
      <w:r>
        <w:t>a result "significant" if the Cr</w:t>
      </w:r>
      <w:r w:rsidRPr="003633F0">
        <w:t>I does not include RR = 1</w:t>
      </w:r>
      <w:r>
        <w:t xml:space="preserve"> or MD/SMD=0</w:t>
      </w:r>
      <w:r w:rsidRPr="003633F0">
        <w:t>.</w:t>
      </w:r>
    </w:p>
    <w:p w:rsidR="006B637D" w:rsidRDefault="006B637D" w:rsidP="006B637D">
      <w:pPr>
        <w:jc w:val="both"/>
        <w:rPr>
          <w:u w:val="single"/>
        </w:rPr>
      </w:pPr>
      <w:r>
        <w:rPr>
          <w:u w:val="single"/>
        </w:rPr>
        <w:t xml:space="preserve">Dealing with </w:t>
      </w:r>
      <w:r w:rsidRPr="00AD2081">
        <w:rPr>
          <w:u w:val="single"/>
        </w:rPr>
        <w:t>missing data</w:t>
      </w:r>
    </w:p>
    <w:p w:rsidR="006B637D" w:rsidRPr="005D032D" w:rsidRDefault="006B637D" w:rsidP="006B637D">
      <w:pPr>
        <w:jc w:val="both"/>
      </w:pPr>
      <w:r>
        <w:t xml:space="preserve">For the endpoints clinical relapse (measured as event yes or no) and disability progression (measured as progression yes or no), we will assume that participants who dropped out experienced the event (which seems to be a likely scenario). For all other outcomes, we will not perform imputations for missing data. We will base the statistical analyses on the intention to treat principle (all participants analysed in the group to which they were allocated, and all available data included in the analyses). </w:t>
      </w:r>
    </w:p>
    <w:p w:rsidR="006B637D" w:rsidRPr="007D1C55" w:rsidRDefault="006B637D" w:rsidP="006B637D">
      <w:pPr>
        <w:jc w:val="both"/>
        <w:rPr>
          <w:b/>
          <w:i/>
        </w:rPr>
      </w:pPr>
      <w:r w:rsidRPr="007D1C55">
        <w:rPr>
          <w:b/>
          <w:i/>
        </w:rPr>
        <w:t>Statistical analyses and presentation of results</w:t>
      </w:r>
    </w:p>
    <w:p w:rsidR="006B637D" w:rsidRDefault="006B637D" w:rsidP="006B637D">
      <w:pPr>
        <w:jc w:val="both"/>
      </w:pPr>
      <w:r>
        <w:t>If no SR of high quality is identified,</w:t>
      </w:r>
      <w:r w:rsidRPr="0048660B">
        <w:t xml:space="preserve"> data </w:t>
      </w:r>
      <w:r>
        <w:t xml:space="preserve">from individual studies </w:t>
      </w:r>
      <w:r w:rsidRPr="0048660B">
        <w:t>will be quantitatively combined</w:t>
      </w:r>
      <w:r>
        <w:t xml:space="preserve"> as described below. Similar methods will be used if we need to update meta-analysis or network-meta-analysis. </w:t>
      </w:r>
    </w:p>
    <w:p w:rsidR="006B637D" w:rsidRPr="00F44A7A" w:rsidRDefault="006B637D" w:rsidP="006B637D">
      <w:pPr>
        <w:jc w:val="both"/>
      </w:pPr>
      <w:r>
        <w:t>We will first conduct pairwise meta-analyses for each available endpoint and, for each identified intervention vs. control group comparison</w:t>
      </w:r>
      <w:r w:rsidRPr="0048660B">
        <w:t>. R</w:t>
      </w:r>
      <w:r>
        <w:t>andom effect models will be assumed</w:t>
      </w:r>
      <w:r w:rsidRPr="0048660B">
        <w:t xml:space="preserve">. Estimates of risk ratios and corresponding 95% </w:t>
      </w:r>
      <w:r>
        <w:t>CI</w:t>
      </w:r>
      <w:r w:rsidRPr="0048660B">
        <w:t xml:space="preserve"> will be provided. </w:t>
      </w:r>
      <w:r>
        <w:t>These analyses will be performed using the software RevMan 5.3.</w:t>
      </w:r>
    </w:p>
    <w:p w:rsidR="006B637D" w:rsidRDefault="006B637D" w:rsidP="006B637D">
      <w:pPr>
        <w:jc w:val="both"/>
      </w:pPr>
      <w:r w:rsidRPr="00CD1759">
        <w:t xml:space="preserve">We will perform a network-meta-analysis (NMA) for each </w:t>
      </w:r>
      <w:r>
        <w:t>primary endpoint</w:t>
      </w:r>
      <w:r w:rsidRPr="00CD1759">
        <w:t xml:space="preserve">. This will be </w:t>
      </w:r>
      <w:r>
        <w:t>performed</w:t>
      </w:r>
      <w:r w:rsidRPr="00CD1759">
        <w:t xml:space="preserve"> combining direct and indirect effects of the interventions of interest</w:t>
      </w:r>
      <w:r w:rsidRPr="00CD1759">
        <w:rPr>
          <w:lang w:val="en-US"/>
        </w:rPr>
        <w:t xml:space="preserve"> for each e</w:t>
      </w:r>
      <w:r>
        <w:rPr>
          <w:lang w:val="en-US"/>
        </w:rPr>
        <w:t>ndpoint</w:t>
      </w:r>
      <w:r w:rsidRPr="00CD1759">
        <w:rPr>
          <w:lang w:val="en-US"/>
        </w:rPr>
        <w:t xml:space="preserve">. </w:t>
      </w:r>
      <w:r w:rsidRPr="00CD1759">
        <w:t xml:space="preserve"> </w:t>
      </w:r>
      <w:r w:rsidRPr="001149C4">
        <w:t xml:space="preserve">The analysis will primarily </w:t>
      </w:r>
      <w:r>
        <w:t xml:space="preserve">be </w:t>
      </w:r>
      <w:r w:rsidRPr="001149C4">
        <w:t xml:space="preserve">based on Multiple Treatments Meta-analysis (MTM) as described by Salanti </w:t>
      </w:r>
      <w:r w:rsidR="00204467">
        <w:fldChar w:fldCharType="begin"/>
      </w:r>
      <w:r>
        <w:instrText xml:space="preserve"> ADDIN EN.CITE &lt;EndNote&gt;&lt;Cite&gt;&lt;Author&gt;Salanti&lt;/Author&gt;&lt;Year&gt;2008&lt;/Year&gt;&lt;RecNum&gt;4&lt;/RecNum&gt;&lt;DisplayText&gt;(8)&lt;/DisplayText&gt;&lt;record&gt;&lt;rec-number&gt;4&lt;/rec-number&gt;&lt;foreign-keys&gt;&lt;key app="EN" db-id="5v92t2t9i9wzrpexw2ox0eso5t9xfrxtd0sv" timestamp="1423753487"&gt;4&lt;/key&gt;&lt;/foreign-keys&gt;&lt;ref-type name="Journal Article"&gt;17&lt;/ref-type&gt;&lt;contributors&gt;&lt;authors&gt;&lt;author&gt;Salanti, G.&lt;/author&gt;&lt;author&gt;Higgins, J. P.&lt;/author&gt;&lt;author&gt;Ades, A. E.&lt;/author&gt;&lt;author&gt;Ioannidis, J. P.&lt;/author&gt;&lt;/authors&gt;&lt;/contributors&gt;&lt;titles&gt;&lt;title&gt;Evaluation of networks of randomized trials&lt;/title&gt;&lt;secondary-title&gt;Stat Methods Med Res.&lt;/secondary-title&gt;&lt;/titles&gt;&lt;periodical&gt;&lt;full-title&gt;Stat Methods Med Res.&lt;/full-title&gt;&lt;/periodical&gt;&lt;pages&gt;279-301. Epub 2007 Oct 9.&lt;/pages&gt;&lt;volume&gt;17&lt;/volume&gt;&lt;number&gt;3&lt;/number&gt;&lt;keywords&gt;&lt;keyword&gt;Humans&lt;/keyword&gt;&lt;keyword&gt;*Meta-Analysis as Topic&lt;/keyword&gt;&lt;keyword&gt;*Models, Statistical&lt;/keyword&gt;&lt;keyword&gt;Randomized Controlled Trials as Topic/methods/*statistics &amp;amp; numerical data&lt;/keyword&gt;&lt;keyword&gt;Research Design/statistics &amp;amp; numerical data&lt;/keyword&gt;&lt;/keywords&gt;&lt;dates&gt;&lt;year&gt;2008&lt;/year&gt;&lt;pub-dates&gt;&lt;date&gt;Jun&lt;/date&gt;&lt;/pub-dates&gt;&lt;/dates&gt;&lt;isbn&gt;0962-2802 (Print)&amp;#xD;0962-2802 (Linking)&lt;/isbn&gt;&lt;work-type&gt;Comparative Study&amp;#xD;Review&lt;/work-type&gt;&lt;urls&gt;&lt;/urls&gt;&lt;/record&gt;&lt;/Cite&gt;&lt;/EndNote&gt;</w:instrText>
      </w:r>
      <w:r w:rsidR="00204467">
        <w:fldChar w:fldCharType="separate"/>
      </w:r>
      <w:r>
        <w:rPr>
          <w:noProof/>
        </w:rPr>
        <w:t>(</w:t>
      </w:r>
      <w:hyperlink w:anchor="_ENREF_8" w:tooltip="Salanti, 2008 #4" w:history="1">
        <w:r>
          <w:rPr>
            <w:noProof/>
          </w:rPr>
          <w:t>8</w:t>
        </w:r>
      </w:hyperlink>
      <w:r>
        <w:rPr>
          <w:noProof/>
        </w:rPr>
        <w:t>)</w:t>
      </w:r>
      <w:r w:rsidR="00204467">
        <w:fldChar w:fldCharType="end"/>
      </w:r>
      <w:r w:rsidRPr="001149C4">
        <w:t>. We will use the arm-based network meta-analys</w:t>
      </w:r>
      <w:r>
        <w:t>i</w:t>
      </w:r>
      <w:r w:rsidRPr="001149C4">
        <w:t>s method (a Bayesian method based on Mark</w:t>
      </w:r>
      <w:r>
        <w:t>ov Chain Monte Carlo simulation)</w:t>
      </w:r>
      <w:r w:rsidRPr="001149C4">
        <w:t>. All MTM will be performed using Winbugs version 1.4.3 (Imperial College and MRC, UK). The statistical analysis is based on binomial likelihoods</w:t>
      </w:r>
      <w:r>
        <w:t xml:space="preserve"> (dichotomous outcomes) and normal likelihood (continuous outcomes)</w:t>
      </w:r>
      <w:r w:rsidRPr="001149C4">
        <w:t>, with vague priors for the trial baselines, basic parameters (normal distribution with mean 0 and standard deviation 0.0001) and the random effects standard deviation (uniformly distributed in the interval 0 to 2), and takes the correlation structure induced by multi-arm trials into account. We will u</w:t>
      </w:r>
      <w:r>
        <w:t xml:space="preserve">se a random effects model. </w:t>
      </w:r>
      <w:r w:rsidRPr="001149C4">
        <w:t>We will check for inco</w:t>
      </w:r>
      <w:r>
        <w:t>herence</w:t>
      </w:r>
      <w:r w:rsidRPr="001149C4">
        <w:t xml:space="preserve"> between direct and indirect evidence by "node-splitting"</w:t>
      </w:r>
      <w:r>
        <w:t xml:space="preserve"> </w:t>
      </w:r>
      <w:r w:rsidR="00204467">
        <w:fldChar w:fldCharType="begin"/>
      </w:r>
      <w:r>
        <w:instrText xml:space="preserve"> ADDIN EN.CITE &lt;EndNote&gt;&lt;Cite&gt;&lt;Author&gt;Dias&lt;/Author&gt;&lt;Year&gt;2010&lt;/Year&gt;&lt;RecNum&gt;5&lt;/RecNum&gt;&lt;DisplayText&gt;(9)&lt;/DisplayText&gt;&lt;record&gt;&lt;rec-number&gt;5&lt;/rec-number&gt;&lt;foreign-keys&gt;&lt;key app="EN" db-id="5v92t2t9i9wzrpexw2ox0eso5t9xfrxtd0sv" timestamp="1423753487"&gt;5&lt;/key&gt;&lt;/foreign-keys&gt;&lt;ref-type name="Journal Article"&gt;17&lt;/ref-type&gt;&lt;contributors&gt;&lt;authors&gt;&lt;author&gt;Dias, S.&lt;/author&gt;&lt;author&gt;Welton, N. J.&lt;/author&gt;&lt;author&gt;Caldwell, D. M.&lt;/author&gt;&lt;author&gt;Ades, A. E.&lt;/author&gt;&lt;/authors&gt;&lt;/contributors&gt;&lt;titles&gt;&lt;title&gt;Checking consistency in mixed treatment comparison meta-analysis&lt;/title&gt;&lt;secondary-title&gt;Stat Med.&lt;/secondary-title&gt;&lt;/titles&gt;&lt;periodical&gt;&lt;full-title&gt;Stat Med.&lt;/full-title&gt;&lt;/periodical&gt;&lt;pages&gt;932-44. doi: 10.1002/sim.3767.&lt;/pages&gt;&lt;volume&gt;29&lt;/volume&gt;&lt;number&gt;7-8&lt;/number&gt;&lt;keywords&gt;&lt;keyword&gt;0 (Fibrinolytic Agents)&lt;/keyword&gt;&lt;keyword&gt;Angioplasty/statistics &amp;amp; numerical data&lt;/keyword&gt;&lt;keyword&gt;*Bayes Theorem&lt;/keyword&gt;&lt;keyword&gt;*Biostatistics&lt;/keyword&gt;&lt;keyword&gt;Fibrinolytic Agents/therapeutic use&lt;/keyword&gt;&lt;keyword&gt;Humans&lt;/keyword&gt;&lt;keyword&gt;Markov Chains&lt;/keyword&gt;&lt;keyword&gt;*Meta-Analysis as Topic&lt;/keyword&gt;&lt;keyword&gt;Monte Carlo Method&lt;/keyword&gt;&lt;keyword&gt;Myocardial Infarction/drug therapy/surgery&lt;/keyword&gt;&lt;keyword&gt;Randomized Controlled Trials as Topic/*statistics &amp;amp; numerical data&lt;/keyword&gt;&lt;keyword&gt;Review Literature as Topic&lt;/keyword&gt;&lt;keyword&gt;Smoking Cessation/statistics &amp;amp; numerical data&lt;/keyword&gt;&lt;/keywords&gt;&lt;dates&gt;&lt;year&gt;2010&lt;/year&gt;&lt;pub-dates&gt;&lt;date&gt;Mar 30&lt;/date&gt;&lt;/pub-dates&gt;&lt;/dates&gt;&lt;isbn&gt;1097-0258 (Electronic)&amp;#xD;0277-6715 (Linking)&lt;/isbn&gt;&lt;work-type&gt;Research Support, Non-U.S. Gov&amp;apos;t&lt;/work-type&gt;&lt;urls&gt;&lt;/urls&gt;&lt;/record&gt;&lt;/Cite&gt;&lt;/EndNote&gt;</w:instrText>
      </w:r>
      <w:r w:rsidR="00204467">
        <w:fldChar w:fldCharType="separate"/>
      </w:r>
      <w:r>
        <w:rPr>
          <w:noProof/>
        </w:rPr>
        <w:t>(</w:t>
      </w:r>
      <w:hyperlink w:anchor="_ENREF_9" w:tooltip="Dias, 2010 #5" w:history="1">
        <w:r>
          <w:rPr>
            <w:noProof/>
          </w:rPr>
          <w:t>9</w:t>
        </w:r>
      </w:hyperlink>
      <w:r>
        <w:rPr>
          <w:noProof/>
        </w:rPr>
        <w:t>)</w:t>
      </w:r>
      <w:r w:rsidR="00204467">
        <w:fldChar w:fldCharType="end"/>
      </w:r>
      <w:r>
        <w:t>.</w:t>
      </w:r>
      <w:r w:rsidRPr="001149C4">
        <w:t xml:space="preserve"> We will calculate the direct and indirect estimates of effect and the corresponding Bayesian "P-values" for </w:t>
      </w:r>
      <w:r>
        <w:t>incoherence.</w:t>
      </w:r>
      <w:r w:rsidRPr="001149C4">
        <w:t xml:space="preserve"> </w:t>
      </w:r>
    </w:p>
    <w:p w:rsidR="006B637D" w:rsidRDefault="006B637D" w:rsidP="006B637D">
      <w:pPr>
        <w:jc w:val="both"/>
      </w:pPr>
      <w:r w:rsidRPr="003633F0">
        <w:t xml:space="preserve">We also intend to rank the different treatments in terms of their likelihood of leading to the best results for each </w:t>
      </w:r>
      <w:r>
        <w:t>primary endpoint</w:t>
      </w:r>
      <w:r w:rsidRPr="003633F0">
        <w:t xml:space="preserve">. </w:t>
      </w:r>
      <w:r>
        <w:t xml:space="preserve">We will base the rankings on the surface under the cumulative ranking curve (SUCRA) </w:t>
      </w:r>
      <w:r w:rsidR="00204467">
        <w:fldChar w:fldCharType="begin"/>
      </w:r>
      <w:r>
        <w:instrText xml:space="preserve"> ADDIN EN.CITE &lt;EndNote&gt;&lt;Cite&gt;&lt;Author&gt;Salanti&lt;/Author&gt;&lt;Year&gt;2011&lt;/Year&gt;&lt;RecNum&gt;6&lt;/RecNum&gt;&lt;DisplayText&gt;(10)&lt;/DisplayText&gt;&lt;record&gt;&lt;rec-number&gt;6&lt;/rec-number&gt;&lt;foreign-keys&gt;&lt;key app="EN" db-id="5v92t2t9i9wzrpexw2ox0eso5t9xfrxtd0sv" timestamp="1423753487"&gt;6&lt;/key&gt;&lt;/foreign-keys&gt;&lt;ref-type name="Journal Article"&gt;17&lt;/ref-type&gt;&lt;contributors&gt;&lt;authors&gt;&lt;author&gt;Salanti, G.&lt;/author&gt;&lt;author&gt;Ades, A. E.&lt;/author&gt;&lt;author&gt;Ioannidis, J. P.&lt;/author&gt;&lt;/authors&gt;&lt;/contributors&gt;&lt;titles&gt;&lt;title&gt;Graphical methods and numerical summaries for presenting results from multiple-treatment meta-analysis: an overview and tutorial&lt;/title&gt;&lt;secondary-title&gt;J Clin Epidemiol.&lt;/secondary-title&gt;&lt;/titles&gt;&lt;periodical&gt;&lt;full-title&gt;J Clin Epidemiol.&lt;/full-title&gt;&lt;/periodical&gt;&lt;pages&gt;163-71. doi: 10.1016/j.jclinepi.2010.03.016. Epub 2010 Aug 5.&lt;/pages&gt;&lt;volume&gt;64&lt;/volume&gt;&lt;number&gt;2&lt;/number&gt;&lt;keywords&gt;&lt;keyword&gt;0 (Platelet Aggregation Inhibitors)&lt;/keyword&gt;&lt;keyword&gt;*Bayes Theorem&lt;/keyword&gt;&lt;keyword&gt;Clinical Trials as Topic/*statistics &amp;amp; numerical data&lt;/keyword&gt;&lt;keyword&gt;Data Display&lt;/keyword&gt;&lt;keyword&gt;Data Interpretation, Statistical&lt;/keyword&gt;&lt;keyword&gt;Humans&lt;/keyword&gt;&lt;keyword&gt;Ischemic Attack, Transient/drug therapy&lt;/keyword&gt;&lt;keyword&gt;*Meta-Analysis as Topic&lt;/keyword&gt;&lt;keyword&gt;Models, Statistical&lt;/keyword&gt;&lt;keyword&gt;Platelet Aggregation Inhibitors/therapeutic use&lt;/keyword&gt;&lt;keyword&gt;Stroke/drug therapy&lt;/keyword&gt;&lt;/keywords&gt;&lt;dates&gt;&lt;year&gt;2011&lt;/year&gt;&lt;pub-dates&gt;&lt;date&gt;Feb&lt;/date&gt;&lt;/pub-dates&gt;&lt;/dates&gt;&lt;isbn&gt;1878-5921 (Electronic)&amp;#xD;0895-4356 (Linking)&lt;/isbn&gt;&lt;urls&gt;&lt;/urls&gt;&lt;/record&gt;&lt;/Cite&gt;&lt;/EndNote&gt;</w:instrText>
      </w:r>
      <w:r w:rsidR="00204467">
        <w:fldChar w:fldCharType="separate"/>
      </w:r>
      <w:r>
        <w:rPr>
          <w:noProof/>
        </w:rPr>
        <w:t>(</w:t>
      </w:r>
      <w:hyperlink w:anchor="_ENREF_10" w:tooltip="Salanti, 2011 #6" w:history="1">
        <w:r>
          <w:rPr>
            <w:noProof/>
          </w:rPr>
          <w:t>10</w:t>
        </w:r>
      </w:hyperlink>
      <w:r>
        <w:rPr>
          <w:noProof/>
        </w:rPr>
        <w:t>)</w:t>
      </w:r>
      <w:r w:rsidR="00204467">
        <w:fldChar w:fldCharType="end"/>
      </w:r>
      <w:r>
        <w:t xml:space="preserve">. We will interpret the rankings cautiously taking into account the quality of evidence. </w:t>
      </w:r>
    </w:p>
    <w:p w:rsidR="006B637D" w:rsidRDefault="006B637D" w:rsidP="006B637D">
      <w:pPr>
        <w:jc w:val="both"/>
      </w:pPr>
      <w:r>
        <w:t>When possible, we will perform subgroup analyses for each type of MS diagnosis (C</w:t>
      </w:r>
      <w:r>
        <w:rPr>
          <w:lang w:val="en-US"/>
        </w:rPr>
        <w:t>IS, RRMS</w:t>
      </w:r>
      <w:r w:rsidRPr="00C460E2">
        <w:rPr>
          <w:lang w:val="en-US"/>
        </w:rPr>
        <w:t xml:space="preserve">, </w:t>
      </w:r>
      <w:r>
        <w:rPr>
          <w:lang w:val="en-US"/>
        </w:rPr>
        <w:t>SPMS)</w:t>
      </w:r>
      <w:r>
        <w:t xml:space="preserve">. </w:t>
      </w:r>
    </w:p>
    <w:p w:rsidR="006B637D" w:rsidRDefault="006B637D" w:rsidP="006B637D">
      <w:pPr>
        <w:jc w:val="both"/>
      </w:pPr>
      <w:r>
        <w:t>We will perform sensitivity analyses where participants who dropped are excluded from the analyses of the outcomes clinical relapse and disability progression, that is base the analyses on the available data.</w:t>
      </w:r>
    </w:p>
    <w:p w:rsidR="006B637D" w:rsidRDefault="006B637D" w:rsidP="006B637D">
      <w:pPr>
        <w:jc w:val="both"/>
      </w:pPr>
      <w:r>
        <w:t>If a SR(s) of high quality is identified, we will present risk effect estimates extracted from the SR(s). If the SR is older than one year, and additional studies are identified, we will update the risk estimates. This will be performed using the statistical methods described above.</w:t>
      </w:r>
    </w:p>
    <w:p w:rsidR="006B637D" w:rsidRPr="008D3713" w:rsidRDefault="006B637D" w:rsidP="008D3713">
      <w:pPr>
        <w:rPr>
          <w:b/>
          <w:u w:val="single"/>
        </w:rPr>
      </w:pPr>
      <w:bookmarkStart w:id="0" w:name="_Toc254025437"/>
      <w:bookmarkStart w:id="1" w:name="_Toc257277638"/>
      <w:bookmarkStart w:id="2" w:name="_Toc291849470"/>
      <w:r w:rsidRPr="008D3713">
        <w:rPr>
          <w:b/>
          <w:u w:val="single"/>
        </w:rPr>
        <w:t>Grading the quality of evidence</w:t>
      </w:r>
      <w:bookmarkEnd w:id="0"/>
      <w:bookmarkEnd w:id="1"/>
      <w:bookmarkEnd w:id="2"/>
    </w:p>
    <w:p w:rsidR="006B637D" w:rsidRDefault="006B637D" w:rsidP="006B637D">
      <w:pPr>
        <w:jc w:val="both"/>
        <w:rPr>
          <w:lang w:val="en-US"/>
        </w:rPr>
      </w:pPr>
      <w:r>
        <w:rPr>
          <w:lang w:val="en-US"/>
        </w:rPr>
        <w:t xml:space="preserve">Two review authors will assess independently the quality of the evidence for each selected outcome. The quality of the evidence for the pairwise comparisons will be evaluated using GRADE (Grading of recommendations Assessment, Development, and Evaluation) </w:t>
      </w:r>
      <w:r w:rsidR="00204467">
        <w:rPr>
          <w:lang w:val="en-US"/>
        </w:rPr>
        <w:fldChar w:fldCharType="begin"/>
      </w:r>
      <w:r>
        <w:rPr>
          <w:lang w:val="en-US"/>
        </w:rPr>
        <w:instrText xml:space="preserve"> ADDIN EN.CITE &lt;EndNote&gt;&lt;Cite ExcludeAuth="1" ExcludeYear="1"&gt;&lt;RecNum&gt;11&lt;/RecNum&gt;&lt;DisplayText&gt;(7)&lt;/DisplayText&gt;&lt;record&gt;&lt;rec-number&gt;11&lt;/rec-number&gt;&lt;foreign-keys&gt;&lt;key app="EN" db-id="5v92t2t9i9wzrpexw2ox0eso5t9xfrxtd0sv" timestamp="1423754589"&gt;11&lt;/key&gt;&lt;/foreign-keys&gt;&lt;ref-type name="Web Page"&gt;12&lt;/ref-type&gt;&lt;contributors&gt;&lt;/contributors&gt;&lt;titles&gt;&lt;title&gt;http://www.gradeworkinggroup.org/&lt;/title&gt;&lt;/titles&gt;&lt;number&gt;12/02/2015&lt;/number&gt;&lt;dates&gt;&lt;/dates&gt;&lt;urls&gt;&lt;/urls&gt;&lt;/record&gt;&lt;/Cite&gt;&lt;/EndNote&gt;</w:instrText>
      </w:r>
      <w:r w:rsidR="00204467">
        <w:rPr>
          <w:lang w:val="en-US"/>
        </w:rPr>
        <w:fldChar w:fldCharType="separate"/>
      </w:r>
      <w:r>
        <w:rPr>
          <w:noProof/>
          <w:lang w:val="en-US"/>
        </w:rPr>
        <w:t>(</w:t>
      </w:r>
      <w:hyperlink w:anchor="_ENREF_7" w:tooltip=",  #11" w:history="1">
        <w:r>
          <w:rPr>
            <w:noProof/>
            <w:lang w:val="en-US"/>
          </w:rPr>
          <w:t>7</w:t>
        </w:r>
      </w:hyperlink>
      <w:r>
        <w:rPr>
          <w:noProof/>
          <w:lang w:val="en-US"/>
        </w:rPr>
        <w:t>)</w:t>
      </w:r>
      <w:r w:rsidR="00204467">
        <w:rPr>
          <w:lang w:val="en-US"/>
        </w:rPr>
        <w:fldChar w:fldCharType="end"/>
      </w:r>
      <w:r>
        <w:rPr>
          <w:lang w:val="en-US"/>
        </w:rPr>
        <w:t xml:space="preserve">. The quality of the direct evidence, indirect evidence, and the combined evidence from the NMAs will  be evaluated using the GRADE approach adapted for NMA </w:t>
      </w:r>
      <w:r w:rsidR="00204467">
        <w:rPr>
          <w:lang w:val="en-US"/>
        </w:rPr>
        <w:fldChar w:fldCharType="begin"/>
      </w:r>
      <w:r>
        <w:rPr>
          <w:lang w:val="en-US"/>
        </w:rPr>
        <w:instrText xml:space="preserve"> ADDIN EN.CITE &lt;EndNote&gt;&lt;Cite&gt;&lt;Author&gt;Puhan&lt;/Author&gt;&lt;Year&gt;2014&lt;/Year&gt;&lt;RecNum&gt;7&lt;/RecNum&gt;&lt;DisplayText&gt;(11)&lt;/DisplayText&gt;&lt;record&gt;&lt;rec-number&gt;7&lt;/rec-number&gt;&lt;foreign-keys&gt;&lt;key app="EN" db-id="5v92t2t9i9wzrpexw2ox0eso5t9xfrxtd0sv" timestamp="1423753487"&gt;7&lt;/key&gt;&lt;/foreign-keys&gt;&lt;ref-type name="Journal Article"&gt;17&lt;/ref-type&gt;&lt;contributors&gt;&lt;authors&gt;&lt;author&gt;Puhan, M. A.&lt;/author&gt;&lt;author&gt;Schunemann, H. J.&lt;/author&gt;&lt;author&gt;Murad, M. H.&lt;/author&gt;&lt;author&gt;Li, T.&lt;/author&gt;&lt;author&gt;Brignardello-Petersen, R.&lt;/author&gt;&lt;author&gt;Singh, J. A.&lt;/author&gt;&lt;author&gt;Kessels, A. G.&lt;/author&gt;&lt;author&gt;Guyatt, G. H.&lt;/author&gt;&lt;/authors&gt;&lt;/contributors&gt;&lt;titles&gt;&lt;title&gt;A GRADE Working Group approach for rating the quality of treatment effect estimates from network meta-analysis&lt;/title&gt;&lt;secondary-title&gt;BMJ.&lt;/secondary-title&gt;&lt;/titles&gt;&lt;periodical&gt;&lt;full-title&gt;BMJ.&lt;/full-title&gt;&lt;/periodical&gt;&lt;pages&gt;10.1136/bmj.g5630.&lt;/pages&gt;&lt;volume&gt;349:g5630.&lt;/volume&gt;&lt;number&gt;doi&lt;/number&gt;&lt;keywords&gt;&lt;keyword&gt;Evidence-Based Medicine/standards&lt;/keyword&gt;&lt;keyword&gt;Guideline Adherence&lt;/keyword&gt;&lt;keyword&gt;Humans&lt;/keyword&gt;&lt;keyword&gt;*Meta-Analysis as Topic&lt;/keyword&gt;&lt;keyword&gt;Practice Guidelines as Topic/*standards&lt;/keyword&gt;&lt;keyword&gt;Quality Assurance, Health Care/*standards&lt;/keyword&gt;&lt;/keywords&gt;&lt;dates&gt;&lt;year&gt;2014&lt;/year&gt;&lt;pub-dates&gt;&lt;date&gt;Sep 24&lt;/date&gt;&lt;/pub-dates&gt;&lt;/dates&gt;&lt;isbn&gt;1756-1833 (Electronic)&amp;#xD;0959-535X (Linking)&lt;/isbn&gt;&lt;urls&gt;&lt;/urls&gt;&lt;/record&gt;&lt;/Cite&gt;&lt;/EndNote&gt;</w:instrText>
      </w:r>
      <w:r w:rsidR="00204467">
        <w:rPr>
          <w:lang w:val="en-US"/>
        </w:rPr>
        <w:fldChar w:fldCharType="separate"/>
      </w:r>
      <w:r>
        <w:rPr>
          <w:noProof/>
          <w:lang w:val="en-US"/>
        </w:rPr>
        <w:t>(</w:t>
      </w:r>
      <w:hyperlink w:anchor="_ENREF_11" w:tooltip="Puhan, 2014 #7" w:history="1">
        <w:r>
          <w:rPr>
            <w:noProof/>
            <w:lang w:val="en-US"/>
          </w:rPr>
          <w:t>11</w:t>
        </w:r>
      </w:hyperlink>
      <w:r>
        <w:rPr>
          <w:noProof/>
          <w:lang w:val="en-US"/>
        </w:rPr>
        <w:t>)</w:t>
      </w:r>
      <w:r w:rsidR="00204467">
        <w:rPr>
          <w:lang w:val="en-US"/>
        </w:rPr>
        <w:fldChar w:fldCharType="end"/>
      </w:r>
      <w:r>
        <w:rPr>
          <w:lang w:val="en-US"/>
        </w:rPr>
        <w:t xml:space="preserve">.  GRADE provides specific criteria to consider when rating the quality of evidence. This will be performed ascertaining the strength of the study design, possible risk of bias, imprecision and inconsistency of the estimates, and indirectness and magnitude of effect, dose response gradient and potential confounding factors. The overall quality of the evidence will be classified as high, moderate, low, or very low for each endpoint. The definition for each category is described in the following table. </w:t>
      </w:r>
    </w:p>
    <w:p w:rsidR="006B637D" w:rsidRPr="00607F02" w:rsidRDefault="006B637D" w:rsidP="006B637D">
      <w:pPr>
        <w:tabs>
          <w:tab w:val="left" w:pos="1479"/>
        </w:tabs>
        <w:rPr>
          <w:lang w:val="en-US"/>
        </w:rPr>
      </w:pPr>
      <w:r w:rsidRPr="005D0D26">
        <w:rPr>
          <w:b/>
          <w:lang w:val="en-US"/>
        </w:rPr>
        <w:t xml:space="preserve">Table: Definition of each category for GRADE </w:t>
      </w:r>
    </w:p>
    <w:tbl>
      <w:tblPr>
        <w:tblStyle w:val="TableKunnskapssenteret"/>
        <w:tblW w:w="4970" w:type="pct"/>
        <w:tblLook w:val="01E0"/>
      </w:tblPr>
      <w:tblGrid>
        <w:gridCol w:w="1657"/>
        <w:gridCol w:w="7496"/>
      </w:tblGrid>
      <w:tr w:rsidR="006B637D" w:rsidRPr="00F15AEA" w:rsidTr="006B637D">
        <w:trPr>
          <w:cnfStyle w:val="100000000000"/>
        </w:trPr>
        <w:tc>
          <w:tcPr>
            <w:tcW w:w="905" w:type="pct"/>
          </w:tcPr>
          <w:p w:rsidR="006B637D" w:rsidRPr="00F15AEA" w:rsidRDefault="006B637D" w:rsidP="006B637D">
            <w:pPr>
              <w:pStyle w:val="Tabelltekst"/>
              <w:rPr>
                <w:rFonts w:ascii="Georgia" w:hAnsi="Georgia"/>
                <w:szCs w:val="22"/>
              </w:rPr>
            </w:pPr>
            <w:r w:rsidRPr="00F15AEA">
              <w:rPr>
                <w:rFonts w:ascii="Georgia" w:hAnsi="Georgia"/>
                <w:szCs w:val="22"/>
              </w:rPr>
              <w:t>Grade</w:t>
            </w:r>
          </w:p>
        </w:tc>
        <w:tc>
          <w:tcPr>
            <w:tcW w:w="4095" w:type="pct"/>
          </w:tcPr>
          <w:p w:rsidR="006B637D" w:rsidRPr="00F15AEA" w:rsidRDefault="006B637D" w:rsidP="006B637D">
            <w:pPr>
              <w:pStyle w:val="Tabelltekst"/>
              <w:rPr>
                <w:rFonts w:ascii="Georgia" w:hAnsi="Georgia"/>
                <w:szCs w:val="22"/>
              </w:rPr>
            </w:pPr>
            <w:r w:rsidRPr="00F15AEA">
              <w:rPr>
                <w:rFonts w:ascii="Georgia" w:hAnsi="Georgia"/>
                <w:szCs w:val="22"/>
              </w:rPr>
              <w:t>Definition</w:t>
            </w:r>
          </w:p>
        </w:tc>
      </w:tr>
      <w:tr w:rsidR="006B637D" w:rsidRPr="005336DB" w:rsidTr="006B637D">
        <w:tc>
          <w:tcPr>
            <w:tcW w:w="0" w:type="auto"/>
          </w:tcPr>
          <w:p w:rsidR="006B637D" w:rsidRPr="00F15AEA" w:rsidRDefault="006B637D" w:rsidP="006B637D">
            <w:pPr>
              <w:pStyle w:val="Tabelltekst"/>
              <w:rPr>
                <w:rFonts w:ascii="Georgia" w:hAnsi="Georgia"/>
                <w:b/>
                <w:szCs w:val="22"/>
              </w:rPr>
            </w:pPr>
            <w:r w:rsidRPr="00F15AEA">
              <w:rPr>
                <w:rFonts w:ascii="Georgia" w:hAnsi="Georgia"/>
                <w:b/>
                <w:szCs w:val="22"/>
              </w:rPr>
              <w:t>High</w:t>
            </w:r>
          </w:p>
        </w:tc>
        <w:tc>
          <w:tcPr>
            <w:tcW w:w="4095" w:type="pct"/>
          </w:tcPr>
          <w:p w:rsidR="006B637D" w:rsidRPr="00F15AEA" w:rsidRDefault="006B637D" w:rsidP="006B637D">
            <w:pPr>
              <w:pStyle w:val="Tabelltekst"/>
              <w:rPr>
                <w:rFonts w:ascii="Georgia" w:hAnsi="Georgia"/>
                <w:szCs w:val="22"/>
                <w:lang w:val="en-US"/>
              </w:rPr>
            </w:pPr>
            <w:r w:rsidRPr="00F15AEA">
              <w:rPr>
                <w:rFonts w:ascii="Georgia" w:hAnsi="Georgia"/>
                <w:szCs w:val="22"/>
                <w:lang w:val="en-US"/>
              </w:rPr>
              <w:t>We are very confident that the true effect lies close to that of the estimate of effect</w:t>
            </w:r>
          </w:p>
        </w:tc>
      </w:tr>
      <w:tr w:rsidR="006B637D" w:rsidRPr="005336DB" w:rsidTr="006B637D">
        <w:tc>
          <w:tcPr>
            <w:tcW w:w="0" w:type="auto"/>
          </w:tcPr>
          <w:p w:rsidR="006B637D" w:rsidRPr="00F15AEA" w:rsidRDefault="006B637D" w:rsidP="006B637D">
            <w:pPr>
              <w:pStyle w:val="Tabelltekst"/>
              <w:rPr>
                <w:rFonts w:ascii="Georgia" w:hAnsi="Georgia"/>
                <w:b/>
                <w:szCs w:val="22"/>
              </w:rPr>
            </w:pPr>
            <w:r w:rsidRPr="00F15AEA">
              <w:rPr>
                <w:rFonts w:ascii="Georgia" w:hAnsi="Georgia"/>
                <w:b/>
                <w:szCs w:val="22"/>
              </w:rPr>
              <w:t>Moderate</w:t>
            </w:r>
          </w:p>
        </w:tc>
        <w:tc>
          <w:tcPr>
            <w:tcW w:w="4095" w:type="pct"/>
          </w:tcPr>
          <w:p w:rsidR="006B637D" w:rsidRPr="00F15AEA" w:rsidRDefault="006B637D" w:rsidP="006B637D">
            <w:pPr>
              <w:pStyle w:val="Tabelltekst"/>
              <w:rPr>
                <w:rFonts w:ascii="Georgia" w:hAnsi="Georgia"/>
                <w:szCs w:val="22"/>
                <w:lang w:val="en-US"/>
              </w:rPr>
            </w:pPr>
            <w:r w:rsidRPr="00F15AEA">
              <w:rPr>
                <w:rFonts w:ascii="Georgia" w:hAnsi="Georgia"/>
                <w:szCs w:val="22"/>
                <w:lang w:val="en-US"/>
              </w:rPr>
              <w:t>We are moderately confident in the effect estimate: The true effect is likely to be close to the estimate of effect, but there is a possibility that it is substantially different</w:t>
            </w:r>
          </w:p>
        </w:tc>
      </w:tr>
      <w:tr w:rsidR="006B637D" w:rsidRPr="005336DB" w:rsidTr="006B637D">
        <w:tc>
          <w:tcPr>
            <w:tcW w:w="0" w:type="auto"/>
          </w:tcPr>
          <w:p w:rsidR="006B637D" w:rsidRPr="00F15AEA" w:rsidRDefault="006B637D" w:rsidP="006B637D">
            <w:pPr>
              <w:pStyle w:val="Tabelltekst"/>
              <w:rPr>
                <w:rFonts w:ascii="Georgia" w:hAnsi="Georgia"/>
                <w:b/>
                <w:szCs w:val="22"/>
              </w:rPr>
            </w:pPr>
            <w:r w:rsidRPr="00F15AEA">
              <w:rPr>
                <w:rFonts w:ascii="Georgia" w:hAnsi="Georgia"/>
                <w:b/>
                <w:szCs w:val="22"/>
              </w:rPr>
              <w:t>Low</w:t>
            </w:r>
          </w:p>
        </w:tc>
        <w:tc>
          <w:tcPr>
            <w:tcW w:w="4095" w:type="pct"/>
          </w:tcPr>
          <w:p w:rsidR="006B637D" w:rsidRPr="00F15AEA" w:rsidRDefault="006B637D" w:rsidP="006B637D">
            <w:pPr>
              <w:pStyle w:val="Tabelltekst"/>
              <w:rPr>
                <w:rFonts w:ascii="Georgia" w:hAnsi="Georgia"/>
                <w:szCs w:val="22"/>
                <w:lang w:val="en-US"/>
              </w:rPr>
            </w:pPr>
            <w:r w:rsidRPr="00F15AEA">
              <w:rPr>
                <w:rFonts w:ascii="Georgia" w:hAnsi="Georgia"/>
                <w:szCs w:val="22"/>
                <w:lang w:val="en-US"/>
              </w:rPr>
              <w:t>Our confidence in the effect estimate is limited: The true effect may be substantially different from the estimate of the effect</w:t>
            </w:r>
          </w:p>
        </w:tc>
      </w:tr>
      <w:tr w:rsidR="006B637D" w:rsidRPr="005336DB" w:rsidTr="006B637D">
        <w:tc>
          <w:tcPr>
            <w:tcW w:w="0" w:type="auto"/>
          </w:tcPr>
          <w:p w:rsidR="006B637D" w:rsidRPr="00F15AEA" w:rsidRDefault="006B637D" w:rsidP="006B637D">
            <w:pPr>
              <w:pStyle w:val="Tabelltekst"/>
              <w:rPr>
                <w:rFonts w:ascii="Georgia" w:hAnsi="Georgia"/>
                <w:b/>
                <w:szCs w:val="22"/>
              </w:rPr>
            </w:pPr>
            <w:r w:rsidRPr="00F15AEA">
              <w:rPr>
                <w:rFonts w:ascii="Georgia" w:hAnsi="Georgia"/>
                <w:b/>
                <w:szCs w:val="22"/>
              </w:rPr>
              <w:t>Very low</w:t>
            </w:r>
          </w:p>
        </w:tc>
        <w:tc>
          <w:tcPr>
            <w:tcW w:w="4095" w:type="pct"/>
          </w:tcPr>
          <w:p w:rsidR="006B637D" w:rsidRPr="00F15AEA" w:rsidRDefault="006B637D" w:rsidP="006B637D">
            <w:pPr>
              <w:pStyle w:val="Tabelltekst"/>
              <w:rPr>
                <w:rFonts w:ascii="Georgia" w:hAnsi="Georgia"/>
                <w:szCs w:val="22"/>
                <w:lang w:val="en-US"/>
              </w:rPr>
            </w:pPr>
            <w:r w:rsidRPr="00F15AEA">
              <w:rPr>
                <w:rFonts w:ascii="Georgia" w:hAnsi="Georgia"/>
                <w:szCs w:val="22"/>
                <w:lang w:val="en-US"/>
              </w:rPr>
              <w:t xml:space="preserve">We have very little confidence in the effect estimate: The true effect is likely to be substantially different from the estimate of effect </w:t>
            </w:r>
          </w:p>
        </w:tc>
      </w:tr>
    </w:tbl>
    <w:p w:rsidR="006B637D" w:rsidRDefault="006B637D" w:rsidP="006B637D">
      <w:pPr>
        <w:spacing w:line="240" w:lineRule="auto"/>
        <w:rPr>
          <w:b/>
          <w:i/>
        </w:rPr>
      </w:pPr>
    </w:p>
    <w:p w:rsidR="006B637D" w:rsidRDefault="006B637D" w:rsidP="006B637D">
      <w:pPr>
        <w:spacing w:line="240" w:lineRule="auto"/>
        <w:rPr>
          <w:b/>
          <w:i/>
        </w:rPr>
      </w:pPr>
    </w:p>
    <w:p w:rsidR="006B637D" w:rsidRPr="00DA73DE" w:rsidRDefault="006B637D" w:rsidP="008D3713">
      <w:pPr>
        <w:pStyle w:val="NormalBilledplassering"/>
        <w:rPr>
          <w:rFonts w:ascii="Times New Roman" w:hAnsi="Times New Roman"/>
          <w:b/>
          <w:sz w:val="24"/>
          <w:szCs w:val="24"/>
          <w:lang w:val="en-GB"/>
        </w:rPr>
      </w:pPr>
      <w:r w:rsidRPr="00DA73DE">
        <w:rPr>
          <w:rFonts w:ascii="Times New Roman" w:hAnsi="Times New Roman"/>
          <w:b/>
          <w:sz w:val="24"/>
          <w:szCs w:val="24"/>
          <w:lang w:val="en-GB"/>
        </w:rPr>
        <w:t>Economic evaluation</w:t>
      </w:r>
    </w:p>
    <w:p w:rsidR="006B637D" w:rsidRPr="00F83695" w:rsidRDefault="006B637D" w:rsidP="006B637D">
      <w:pPr>
        <w:spacing w:line="240" w:lineRule="auto"/>
        <w:rPr>
          <w:b/>
          <w:i/>
          <w:lang w:val="en-US"/>
        </w:rPr>
      </w:pPr>
    </w:p>
    <w:p w:rsidR="006B637D" w:rsidRDefault="006B637D" w:rsidP="006B637D">
      <w:pPr>
        <w:jc w:val="both"/>
      </w:pPr>
      <w:r w:rsidRPr="00124BEA">
        <w:t>If the systematic review uncovers no effect estimates for the primary outcomes</w:t>
      </w:r>
      <w:r>
        <w:t xml:space="preserve">, </w:t>
      </w:r>
      <w:r w:rsidRPr="00124BEA">
        <w:t>we will not perform a cost-effectiveness analysis</w:t>
      </w:r>
      <w:r>
        <w:t>.</w:t>
      </w:r>
    </w:p>
    <w:p w:rsidR="006B637D" w:rsidRDefault="006B637D" w:rsidP="006B637D">
      <w:pPr>
        <w:jc w:val="both"/>
        <w:rPr>
          <w:lang w:val="en-US"/>
        </w:rPr>
      </w:pPr>
      <w:r w:rsidRPr="00347570">
        <w:t>In order to assess the cost-effectiveness of</w:t>
      </w:r>
      <w:r w:rsidRPr="009633BD">
        <w:rPr>
          <w:lang w:val="en-US"/>
        </w:rPr>
        <w:t xml:space="preserve"> </w:t>
      </w:r>
      <w:r w:rsidRPr="009633BD">
        <w:t>the different medicines used for MS</w:t>
      </w:r>
      <w:r>
        <w:t>, we will develop a probabilistic</w:t>
      </w:r>
      <w:r w:rsidRPr="00347570">
        <w:t xml:space="preserve"> </w:t>
      </w:r>
      <w:r>
        <w:t xml:space="preserve">Markov </w:t>
      </w:r>
      <w:r w:rsidRPr="00347570">
        <w:t xml:space="preserve">decision </w:t>
      </w:r>
      <w:r>
        <w:t xml:space="preserve">analytic </w:t>
      </w:r>
      <w:r w:rsidRPr="00347570">
        <w:t>model</w:t>
      </w:r>
      <w:r>
        <w:t>.</w:t>
      </w:r>
      <w:r>
        <w:rPr>
          <w:lang w:val="en-US"/>
        </w:rPr>
        <w:t xml:space="preserve"> </w:t>
      </w:r>
    </w:p>
    <w:p w:rsidR="006B637D" w:rsidRDefault="006B637D" w:rsidP="006B637D">
      <w:pPr>
        <w:jc w:val="both"/>
      </w:pPr>
      <w:r w:rsidRPr="00D06E20">
        <w:t xml:space="preserve">Efficacy estimates </w:t>
      </w:r>
      <w:r>
        <w:t xml:space="preserve">and adverse events </w:t>
      </w:r>
      <w:r w:rsidRPr="00D06E20">
        <w:t xml:space="preserve">will be </w:t>
      </w:r>
      <w:r>
        <w:t>taken</w:t>
      </w:r>
      <w:r w:rsidRPr="00D06E20">
        <w:t xml:space="preserve"> </w:t>
      </w:r>
      <w:r>
        <w:t>from the results of</w:t>
      </w:r>
      <w:r w:rsidRPr="00D06E20">
        <w:t xml:space="preserve"> </w:t>
      </w:r>
      <w:r>
        <w:t>the</w:t>
      </w:r>
      <w:r w:rsidRPr="00D06E20">
        <w:t xml:space="preserve"> systematic literature review</w:t>
      </w:r>
      <w:r>
        <w:t>. These will</w:t>
      </w:r>
      <w:r>
        <w:rPr>
          <w:lang w:val="en-US"/>
        </w:rPr>
        <w:t xml:space="preserve"> inform the transition probabilities used in the model</w:t>
      </w:r>
      <w:r w:rsidRPr="00D06E20">
        <w:t xml:space="preserve"> (see previous section).</w:t>
      </w:r>
      <w:r>
        <w:t xml:space="preserve"> </w:t>
      </w:r>
      <w:r>
        <w:rPr>
          <w:lang w:val="en-US"/>
        </w:rPr>
        <w:t xml:space="preserve">We will estimate costs with official Norwegian unit prices (e.g. DRG and GP-tariffs). We will, as well, conduct separate searches for health-related quality of life weights. Primarily we aim to utilize Norwegian epidemiological data. </w:t>
      </w:r>
      <w:r>
        <w:t>If Norwegian data are not available or are not compatible with the developed model,</w:t>
      </w:r>
      <w:r w:rsidRPr="00D06E20">
        <w:t xml:space="preserve"> </w:t>
      </w:r>
      <w:r>
        <w:t xml:space="preserve">we will critically discuss the transferability of the data to the Norwegian context. </w:t>
      </w:r>
      <w:r>
        <w:rPr>
          <w:lang w:val="en-US"/>
        </w:rPr>
        <w:t>We will use Norwegian treatment guidelines, and expert advice to inform the model assumptions and structure where appropriate.</w:t>
      </w:r>
    </w:p>
    <w:p w:rsidR="006B637D" w:rsidRDefault="006B637D" w:rsidP="006B637D">
      <w:pPr>
        <w:jc w:val="both"/>
      </w:pPr>
      <w:r w:rsidRPr="00E37A11">
        <w:rPr>
          <w:lang w:val="en-US"/>
        </w:rPr>
        <w:t xml:space="preserve">The analysis </w:t>
      </w:r>
      <w:r>
        <w:rPr>
          <w:lang w:val="en-US"/>
        </w:rPr>
        <w:t>will be</w:t>
      </w:r>
      <w:r w:rsidRPr="00E37A11">
        <w:rPr>
          <w:lang w:val="en-US"/>
        </w:rPr>
        <w:t xml:space="preserve"> carried out </w:t>
      </w:r>
      <w:r>
        <w:rPr>
          <w:lang w:val="en-US"/>
        </w:rPr>
        <w:t xml:space="preserve">both </w:t>
      </w:r>
      <w:r w:rsidRPr="00E37A11">
        <w:rPr>
          <w:lang w:val="en-US"/>
        </w:rPr>
        <w:t>from a health care provider</w:t>
      </w:r>
      <w:r>
        <w:rPr>
          <w:lang w:val="en-US"/>
        </w:rPr>
        <w:t xml:space="preserve"> and</w:t>
      </w:r>
      <w:r w:rsidRPr="00E37A11">
        <w:rPr>
          <w:lang w:val="en-US"/>
        </w:rPr>
        <w:t xml:space="preserve"> </w:t>
      </w:r>
      <w:r>
        <w:rPr>
          <w:lang w:val="en-US"/>
        </w:rPr>
        <w:t xml:space="preserve">societal </w:t>
      </w:r>
      <w:r w:rsidRPr="00E37A11">
        <w:rPr>
          <w:lang w:val="en-US"/>
        </w:rPr>
        <w:t>perspective</w:t>
      </w:r>
      <w:r>
        <w:rPr>
          <w:lang w:val="en-US"/>
        </w:rPr>
        <w:t xml:space="preserve">s. </w:t>
      </w:r>
      <w:r w:rsidRPr="00347570">
        <w:t>The model will calculate quality-adjusted life years (QALYs)</w:t>
      </w:r>
      <w:r w:rsidRPr="00E37A11">
        <w:rPr>
          <w:lang w:val="en-US"/>
        </w:rPr>
        <w:t xml:space="preserve"> </w:t>
      </w:r>
      <w:r>
        <w:t>and</w:t>
      </w:r>
      <w:r w:rsidRPr="00347570">
        <w:t xml:space="preserve"> costs related to the different </w:t>
      </w:r>
      <w:r>
        <w:t xml:space="preserve">treatment </w:t>
      </w:r>
      <w:r w:rsidRPr="00347570">
        <w:t>strategies</w:t>
      </w:r>
      <w:r>
        <w:t xml:space="preserve">. Both costs and effects will be discounted with the current discount rates recommended by the Ministry of Finance </w:t>
      </w:r>
      <w:r w:rsidR="00204467">
        <w:fldChar w:fldCharType="begin"/>
      </w:r>
      <w:r>
        <w:instrText xml:space="preserve"> ADDIN EN.CITE &lt;EndNote&gt;&lt;Cite&gt;&lt;Author&gt;Finance&lt;/Author&gt;&lt;Year&gt;2014&lt;/Year&gt;&lt;RecNum&gt;12&lt;/RecNum&gt;&lt;DisplayText&gt;(13)&lt;/DisplayText&gt;&lt;record&gt;&lt;rec-number&gt;12&lt;/rec-number&gt;&lt;foreign-keys&gt;&lt;key app="EN" db-id="5v92t2t9i9wzrpexw2ox0eso5t9xfrxtd0sv" timestamp="1423758199"&gt;12&lt;/key&gt;&lt;/foreign-keys&gt;&lt;ref-type name="Journal Article"&gt;17&lt;/ref-type&gt;&lt;contributors&gt;&lt;authors&gt;&lt;author&gt;Norwegian Ministry of Finance&lt;/author&gt;&lt;/authors&gt;&lt;/contributors&gt;&lt;titles&gt;&lt;title&gt;Prinsipper og krav ved utarbeidelse av samfunnsøkonomiske analyser mv&lt;/title&gt;&lt;secondary-title&gt;Rundskriv R-109/14&lt;/secondary-title&gt;&lt;/titles&gt;&lt;periodical&gt;&lt;full-title&gt;Rundskriv R-109/14&lt;/full-title&gt;&lt;/periodical&gt;&lt;dates&gt;&lt;year&gt;2014&lt;/year&gt;&lt;/dates&gt;&lt;urls&gt;&lt;/urls&gt;&lt;/record&gt;&lt;/Cite&gt;&lt;/EndNote&gt;</w:instrText>
      </w:r>
      <w:r w:rsidR="00204467">
        <w:fldChar w:fldCharType="separate"/>
      </w:r>
      <w:r>
        <w:rPr>
          <w:noProof/>
        </w:rPr>
        <w:t>(</w:t>
      </w:r>
      <w:hyperlink w:anchor="_ENREF_13" w:tooltip="Finance, 2014 #12" w:history="1">
        <w:r>
          <w:rPr>
            <w:noProof/>
          </w:rPr>
          <w:t>13</w:t>
        </w:r>
      </w:hyperlink>
      <w:r>
        <w:rPr>
          <w:noProof/>
        </w:rPr>
        <w:t>)</w:t>
      </w:r>
      <w:r w:rsidR="00204467">
        <w:fldChar w:fldCharType="end"/>
      </w:r>
      <w:r>
        <w:t>.</w:t>
      </w:r>
    </w:p>
    <w:p w:rsidR="006B637D" w:rsidRDefault="006B637D" w:rsidP="006B637D">
      <w:pPr>
        <w:jc w:val="both"/>
      </w:pPr>
    </w:p>
    <w:p w:rsidR="006B637D" w:rsidRDefault="006B637D" w:rsidP="006B637D">
      <w:pPr>
        <w:jc w:val="both"/>
      </w:pPr>
      <w:r>
        <w:t xml:space="preserve">All uncertain parameters will be included in the model as probability distributions </w:t>
      </w:r>
      <w:r>
        <w:rPr>
          <w:lang w:val="en-US"/>
        </w:rPr>
        <w:t>representing the degree of uncertainty relating to these parameters. Sensitivity analyses will be performed to assess the robustness of the results.</w:t>
      </w:r>
      <w:r w:rsidRPr="00635EC6">
        <w:t xml:space="preserve"> </w:t>
      </w:r>
    </w:p>
    <w:p w:rsidR="006B637D" w:rsidRDefault="006B637D" w:rsidP="006B637D">
      <w:pPr>
        <w:rPr>
          <w:lang w:val="en-US"/>
        </w:rPr>
      </w:pPr>
      <w:r w:rsidRPr="002307D6">
        <w:t xml:space="preserve">The PICO </w:t>
      </w:r>
      <w:r>
        <w:t>for</w:t>
      </w:r>
      <w:r w:rsidRPr="002307D6">
        <w:t xml:space="preserve"> this economic evaluation </w:t>
      </w:r>
      <w:r>
        <w:t>is</w:t>
      </w:r>
      <w:r w:rsidRPr="002307D6">
        <w:t>:</w:t>
      </w:r>
      <w:r>
        <w:rPr>
          <w:lang w:val="en-US"/>
        </w:rPr>
        <w:t xml:space="preserve"> </w:t>
      </w:r>
    </w:p>
    <w:p w:rsidR="006B637D" w:rsidRDefault="006B637D" w:rsidP="006B637D">
      <w:pPr>
        <w:ind w:left="2160" w:hanging="2160"/>
        <w:rPr>
          <w:i/>
          <w:lang w:val="en-US"/>
        </w:rPr>
      </w:pPr>
      <w:r w:rsidRPr="00E15FB6">
        <w:rPr>
          <w:i/>
          <w:lang w:val="en-US"/>
        </w:rPr>
        <w:t>Population:</w:t>
      </w:r>
      <w:r>
        <w:rPr>
          <w:i/>
          <w:lang w:val="en-US"/>
        </w:rPr>
        <w:tab/>
      </w:r>
      <w:r w:rsidRPr="001A5578">
        <w:rPr>
          <w:lang w:val="en-US"/>
        </w:rPr>
        <w:t>Patients diagnosed with RRMS</w:t>
      </w:r>
    </w:p>
    <w:p w:rsidR="006B637D" w:rsidRPr="00E15FB6" w:rsidRDefault="006B637D" w:rsidP="006B637D">
      <w:pPr>
        <w:ind w:left="2160" w:hanging="2160"/>
        <w:rPr>
          <w:lang w:val="en-US"/>
        </w:rPr>
      </w:pPr>
      <w:r>
        <w:rPr>
          <w:i/>
          <w:lang w:val="en-US"/>
        </w:rPr>
        <w:t>I</w:t>
      </w:r>
      <w:r w:rsidRPr="00E15FB6">
        <w:rPr>
          <w:i/>
          <w:lang w:val="en-US"/>
        </w:rPr>
        <w:t>ntervention:</w:t>
      </w:r>
      <w:r>
        <w:rPr>
          <w:i/>
          <w:lang w:val="en-US"/>
        </w:rPr>
        <w:tab/>
      </w:r>
      <w:r w:rsidRPr="00347C92">
        <w:rPr>
          <w:lang w:val="en-US"/>
        </w:rPr>
        <w:t xml:space="preserve">Dimetylfumarat, teriflunomid, interferon beta, </w:t>
      </w:r>
      <w:r>
        <w:rPr>
          <w:lang w:val="en-US"/>
        </w:rPr>
        <w:t xml:space="preserve">peg-interferon, </w:t>
      </w:r>
      <w:r w:rsidRPr="00347C92">
        <w:rPr>
          <w:lang w:val="en-US"/>
        </w:rPr>
        <w:t>glatirameracetat, natalizumab, fingolimod, alemtuzumab</w:t>
      </w:r>
      <w:r>
        <w:rPr>
          <w:i/>
          <w:lang w:val="en-US"/>
        </w:rPr>
        <w:tab/>
      </w:r>
    </w:p>
    <w:p w:rsidR="006B637D" w:rsidRPr="0039331F" w:rsidRDefault="006B637D" w:rsidP="006B637D">
      <w:pPr>
        <w:rPr>
          <w:lang w:val="en-US"/>
        </w:rPr>
      </w:pPr>
      <w:r w:rsidRPr="00E15FB6">
        <w:rPr>
          <w:i/>
          <w:lang w:val="en-US"/>
        </w:rPr>
        <w:t>Control:</w:t>
      </w:r>
      <w:r>
        <w:rPr>
          <w:i/>
          <w:lang w:val="en-US"/>
        </w:rPr>
        <w:tab/>
      </w:r>
      <w:r>
        <w:rPr>
          <w:i/>
          <w:lang w:val="en-US"/>
        </w:rPr>
        <w:tab/>
      </w:r>
      <w:r w:rsidRPr="00882BEC">
        <w:rPr>
          <w:lang w:val="en-US"/>
        </w:rPr>
        <w:t>Any of the above mentioned interventions</w:t>
      </w:r>
      <w:r>
        <w:rPr>
          <w:rStyle w:val="af2"/>
          <w:i/>
          <w:lang w:val="en-US"/>
        </w:rPr>
        <w:footnoteReference w:id="1"/>
      </w:r>
    </w:p>
    <w:p w:rsidR="006B637D" w:rsidRPr="00635EC6" w:rsidRDefault="006B637D" w:rsidP="006B637D">
      <w:pPr>
        <w:ind w:left="2160" w:hanging="2160"/>
      </w:pPr>
      <w:r w:rsidRPr="00E15FB6">
        <w:rPr>
          <w:i/>
          <w:lang w:val="en-US"/>
        </w:rPr>
        <w:t>Outcome:</w:t>
      </w:r>
      <w:r>
        <w:rPr>
          <w:i/>
          <w:lang w:val="en-US"/>
        </w:rPr>
        <w:tab/>
      </w:r>
      <w:r>
        <w:rPr>
          <w:lang w:val="en-US"/>
        </w:rPr>
        <w:t>Cost per QALY gained, net health benefit (NHB), probability of being cost-effective (CEAC), value of information analysis</w:t>
      </w:r>
      <w:r w:rsidRPr="00635EC6">
        <w:t xml:space="preserve"> </w:t>
      </w:r>
      <w:r>
        <w:t>(VOI)</w:t>
      </w:r>
    </w:p>
    <w:p w:rsidR="006B637D" w:rsidRPr="0039331F" w:rsidRDefault="006B637D" w:rsidP="006B637D">
      <w:pPr>
        <w:ind w:left="2160" w:hanging="2160"/>
        <w:rPr>
          <w:lang w:val="en-US"/>
        </w:rPr>
      </w:pPr>
      <w:r w:rsidRPr="00E15FB6">
        <w:rPr>
          <w:i/>
          <w:lang w:val="en-US"/>
        </w:rPr>
        <w:t>Study design:</w:t>
      </w:r>
      <w:r>
        <w:rPr>
          <w:i/>
          <w:lang w:val="en-US"/>
        </w:rPr>
        <w:tab/>
      </w:r>
      <w:r>
        <w:t xml:space="preserve">Probabilistic </w:t>
      </w:r>
      <w:r>
        <w:rPr>
          <w:lang w:val="en-US"/>
        </w:rPr>
        <w:t>Markov model</w:t>
      </w:r>
    </w:p>
    <w:p w:rsidR="006B637D" w:rsidRDefault="006B637D" w:rsidP="006B637D">
      <w:pPr>
        <w:rPr>
          <w:lang w:val="en-US"/>
        </w:rPr>
      </w:pPr>
      <w:r w:rsidRPr="00E15FB6">
        <w:rPr>
          <w:i/>
          <w:lang w:val="en-US"/>
        </w:rPr>
        <w:t xml:space="preserve">Perspective: </w:t>
      </w:r>
      <w:r>
        <w:rPr>
          <w:i/>
          <w:lang w:val="en-US"/>
        </w:rPr>
        <w:tab/>
      </w:r>
      <w:r>
        <w:rPr>
          <w:i/>
          <w:lang w:val="en-US"/>
        </w:rPr>
        <w:tab/>
      </w:r>
      <w:r>
        <w:rPr>
          <w:lang w:val="en-US"/>
        </w:rPr>
        <w:t>Health care provider and societal</w:t>
      </w:r>
    </w:p>
    <w:p w:rsidR="006B637D" w:rsidRDefault="006B637D" w:rsidP="006B637D">
      <w:pPr>
        <w:rPr>
          <w:b/>
          <w:szCs w:val="28"/>
        </w:rPr>
      </w:pPr>
    </w:p>
    <w:p w:rsidR="006B637D" w:rsidRDefault="006B637D" w:rsidP="006B637D">
      <w:pPr>
        <w:spacing w:line="240" w:lineRule="auto"/>
        <w:rPr>
          <w:b/>
          <w:i/>
          <w:sz w:val="28"/>
        </w:rPr>
      </w:pPr>
      <w:r>
        <w:br w:type="page"/>
      </w:r>
    </w:p>
    <w:p w:rsidR="006B637D" w:rsidRPr="00616EEC" w:rsidRDefault="006B637D" w:rsidP="00616EEC">
      <w:pPr>
        <w:rPr>
          <w:rFonts w:ascii="Times New Roman" w:hAnsi="Times New Roman" w:cs="Times New Roman"/>
          <w:b/>
          <w:sz w:val="24"/>
          <w:szCs w:val="24"/>
        </w:rPr>
      </w:pPr>
      <w:r w:rsidRPr="00616EEC">
        <w:rPr>
          <w:rFonts w:ascii="Times New Roman" w:hAnsi="Times New Roman" w:cs="Times New Roman"/>
          <w:b/>
          <w:sz w:val="24"/>
          <w:szCs w:val="24"/>
        </w:rPr>
        <w:t>Activities and schedule</w:t>
      </w:r>
    </w:p>
    <w:p w:rsidR="006B637D" w:rsidRDefault="006B637D" w:rsidP="00616EEC">
      <w:pPr>
        <w:pStyle w:val="afff6"/>
        <w:numPr>
          <w:ilvl w:val="0"/>
          <w:numId w:val="61"/>
        </w:numPr>
        <w:tabs>
          <w:tab w:val="clear" w:pos="510"/>
        </w:tabs>
        <w:spacing w:after="200" w:line="276" w:lineRule="auto"/>
        <w:contextualSpacing/>
        <w:jc w:val="both"/>
      </w:pPr>
      <w:r>
        <w:t>C</w:t>
      </w:r>
      <w:r w:rsidRPr="00364485">
        <w:t xml:space="preserve">arry out the literature search </w:t>
      </w:r>
    </w:p>
    <w:p w:rsidR="006B637D" w:rsidRPr="00143104" w:rsidRDefault="006B637D" w:rsidP="00616EEC">
      <w:pPr>
        <w:pStyle w:val="afff6"/>
        <w:numPr>
          <w:ilvl w:val="0"/>
          <w:numId w:val="61"/>
        </w:numPr>
        <w:tabs>
          <w:tab w:val="clear" w:pos="510"/>
        </w:tabs>
        <w:spacing w:after="200" w:line="276" w:lineRule="auto"/>
        <w:contextualSpacing/>
        <w:jc w:val="both"/>
      </w:pPr>
      <w:r w:rsidRPr="00143104">
        <w:t xml:space="preserve">Search for inputs to health economic model (health-related quality of life weights, incidence, morbidity, mortality and costs) </w:t>
      </w:r>
    </w:p>
    <w:p w:rsidR="006B637D" w:rsidRDefault="006B637D" w:rsidP="00616EEC">
      <w:pPr>
        <w:pStyle w:val="afff6"/>
        <w:numPr>
          <w:ilvl w:val="0"/>
          <w:numId w:val="61"/>
        </w:numPr>
        <w:tabs>
          <w:tab w:val="clear" w:pos="510"/>
        </w:tabs>
        <w:spacing w:after="200" w:line="276" w:lineRule="auto"/>
        <w:contextualSpacing/>
        <w:jc w:val="both"/>
      </w:pPr>
      <w:r>
        <w:t xml:space="preserve">Select studies to include according to inclusion criteria </w:t>
      </w:r>
    </w:p>
    <w:p w:rsidR="006B637D" w:rsidRDefault="006B637D" w:rsidP="00616EEC">
      <w:pPr>
        <w:pStyle w:val="afff6"/>
        <w:numPr>
          <w:ilvl w:val="0"/>
          <w:numId w:val="61"/>
        </w:numPr>
        <w:tabs>
          <w:tab w:val="clear" w:pos="510"/>
        </w:tabs>
        <w:spacing w:after="200" w:line="276" w:lineRule="auto"/>
        <w:contextualSpacing/>
        <w:jc w:val="both"/>
      </w:pPr>
      <w:r>
        <w:t>Ascertain possible risk of bias</w:t>
      </w:r>
    </w:p>
    <w:p w:rsidR="006B637D" w:rsidRDefault="006B637D" w:rsidP="00616EEC">
      <w:pPr>
        <w:pStyle w:val="afff6"/>
        <w:numPr>
          <w:ilvl w:val="0"/>
          <w:numId w:val="61"/>
        </w:numPr>
        <w:tabs>
          <w:tab w:val="clear" w:pos="510"/>
        </w:tabs>
        <w:spacing w:after="200" w:line="276" w:lineRule="auto"/>
        <w:contextualSpacing/>
        <w:jc w:val="both"/>
      </w:pPr>
      <w:r>
        <w:t>Build economic model</w:t>
      </w:r>
    </w:p>
    <w:p w:rsidR="006B637D" w:rsidRDefault="006B637D" w:rsidP="00616EEC">
      <w:pPr>
        <w:pStyle w:val="afff6"/>
        <w:numPr>
          <w:ilvl w:val="0"/>
          <w:numId w:val="61"/>
        </w:numPr>
        <w:tabs>
          <w:tab w:val="clear" w:pos="510"/>
        </w:tabs>
        <w:spacing w:after="200" w:line="276" w:lineRule="auto"/>
        <w:contextualSpacing/>
        <w:jc w:val="both"/>
      </w:pPr>
      <w:r>
        <w:t>Extract data from selected studies</w:t>
      </w:r>
    </w:p>
    <w:p w:rsidR="006B637D" w:rsidRPr="007203BD" w:rsidRDefault="006B637D" w:rsidP="00616EEC">
      <w:pPr>
        <w:pStyle w:val="afff6"/>
        <w:numPr>
          <w:ilvl w:val="0"/>
          <w:numId w:val="61"/>
        </w:numPr>
        <w:tabs>
          <w:tab w:val="clear" w:pos="510"/>
        </w:tabs>
        <w:spacing w:after="200" w:line="276" w:lineRule="auto"/>
        <w:contextualSpacing/>
        <w:jc w:val="both"/>
      </w:pPr>
      <w:r>
        <w:t>Extract data for model and enter as probability distributions</w:t>
      </w:r>
    </w:p>
    <w:p w:rsidR="006B637D" w:rsidRDefault="006B637D" w:rsidP="00616EEC">
      <w:pPr>
        <w:pStyle w:val="afff6"/>
        <w:numPr>
          <w:ilvl w:val="0"/>
          <w:numId w:val="61"/>
        </w:numPr>
        <w:tabs>
          <w:tab w:val="clear" w:pos="510"/>
        </w:tabs>
        <w:spacing w:after="200" w:line="276" w:lineRule="auto"/>
        <w:contextualSpacing/>
        <w:jc w:val="both"/>
      </w:pPr>
      <w:r>
        <w:t>Conduct statistical analyses</w:t>
      </w:r>
    </w:p>
    <w:p w:rsidR="006B637D" w:rsidRDefault="006B637D" w:rsidP="00616EEC">
      <w:pPr>
        <w:pStyle w:val="afff6"/>
        <w:numPr>
          <w:ilvl w:val="0"/>
          <w:numId w:val="61"/>
        </w:numPr>
        <w:tabs>
          <w:tab w:val="clear" w:pos="510"/>
        </w:tabs>
        <w:spacing w:after="200" w:line="276" w:lineRule="auto"/>
        <w:contextualSpacing/>
        <w:jc w:val="both"/>
      </w:pPr>
      <w:r>
        <w:t xml:space="preserve">GRADE  the quality of the selected evidence for each endpoint </w:t>
      </w:r>
    </w:p>
    <w:p w:rsidR="006B637D" w:rsidRDefault="006B637D" w:rsidP="00616EEC">
      <w:pPr>
        <w:pStyle w:val="afff6"/>
        <w:numPr>
          <w:ilvl w:val="0"/>
          <w:numId w:val="61"/>
        </w:numPr>
        <w:tabs>
          <w:tab w:val="clear" w:pos="510"/>
        </w:tabs>
        <w:spacing w:after="200" w:line="276" w:lineRule="auto"/>
        <w:contextualSpacing/>
        <w:jc w:val="both"/>
      </w:pPr>
      <w:r>
        <w:t xml:space="preserve">Run the model </w:t>
      </w:r>
    </w:p>
    <w:p w:rsidR="006B637D" w:rsidRPr="00FA0F72" w:rsidRDefault="006B637D" w:rsidP="00616EEC">
      <w:pPr>
        <w:pStyle w:val="afff6"/>
        <w:numPr>
          <w:ilvl w:val="0"/>
          <w:numId w:val="61"/>
        </w:numPr>
        <w:tabs>
          <w:tab w:val="clear" w:pos="510"/>
        </w:tabs>
        <w:spacing w:after="200" w:line="276" w:lineRule="auto"/>
        <w:contextualSpacing/>
        <w:jc w:val="both"/>
      </w:pPr>
      <w:r>
        <w:t xml:space="preserve">Produce the report (write report, send report for peer-review, modify report according to peer-reviewers comments/suggestions, publish report after approval) </w:t>
      </w:r>
    </w:p>
    <w:p w:rsidR="006B637D" w:rsidRPr="00FA72EA" w:rsidRDefault="006B637D" w:rsidP="006B637D">
      <w:pPr>
        <w:rPr>
          <w:b/>
        </w:rPr>
      </w:pPr>
      <w:r w:rsidRPr="00FA72EA">
        <w:rPr>
          <w:b/>
        </w:rPr>
        <w:t>End date</w:t>
      </w:r>
    </w:p>
    <w:p w:rsidR="006B637D" w:rsidRDefault="00616EEC" w:rsidP="00616EEC">
      <w:pPr>
        <w:jc w:val="both"/>
        <w:rPr>
          <w:lang w:val="en-US"/>
        </w:rPr>
      </w:pPr>
      <w:r>
        <w:t xml:space="preserve">Expected publishing </w:t>
      </w:r>
      <w:r w:rsidRPr="00616EEC">
        <w:t>1. half 2016</w:t>
      </w:r>
    </w:p>
    <w:p w:rsidR="006B637D" w:rsidRPr="00616EEC" w:rsidRDefault="006B637D" w:rsidP="00616EEC">
      <w:pPr>
        <w:rPr>
          <w:rFonts w:ascii="Times New Roman" w:hAnsi="Times New Roman" w:cs="Times New Roman"/>
          <w:b/>
          <w:sz w:val="24"/>
          <w:szCs w:val="24"/>
          <w:lang w:val="en-US"/>
        </w:rPr>
      </w:pPr>
      <w:r w:rsidRPr="00616EEC">
        <w:rPr>
          <w:rFonts w:ascii="Times New Roman" w:hAnsi="Times New Roman" w:cs="Times New Roman"/>
          <w:b/>
          <w:sz w:val="24"/>
          <w:szCs w:val="24"/>
          <w:lang w:val="en-US"/>
        </w:rPr>
        <w:t xml:space="preserve">Publication/dissemination </w:t>
      </w:r>
    </w:p>
    <w:p w:rsidR="006B637D" w:rsidRDefault="006B637D" w:rsidP="006B637D">
      <w:pPr>
        <w:jc w:val="both"/>
      </w:pPr>
      <w:r>
        <w:t>The HTA report will be published as a report</w:t>
      </w:r>
      <w:r w:rsidR="00616EEC">
        <w:t xml:space="preserve"> from the Norwegian Knowledge Centre for the Health Services</w:t>
      </w:r>
      <w:r>
        <w:t>, and possibly also as a scientific article.</w:t>
      </w:r>
      <w:r>
        <w:rPr>
          <w:lang w:val="en-US"/>
        </w:rPr>
        <w:t xml:space="preserve"> A</w:t>
      </w:r>
      <w:r w:rsidRPr="00530234">
        <w:t>bstracts may be submitted to relevant conferences.</w:t>
      </w:r>
    </w:p>
    <w:p w:rsidR="00616EEC" w:rsidRDefault="00616EEC" w:rsidP="00616EEC">
      <w:pPr>
        <w:rPr>
          <w:rFonts w:ascii="Times New Roman" w:hAnsi="Times New Roman" w:cs="Times New Roman"/>
          <w:b/>
          <w:sz w:val="24"/>
          <w:szCs w:val="24"/>
          <w:lang w:val="en-US"/>
        </w:rPr>
      </w:pPr>
    </w:p>
    <w:p w:rsidR="006B637D" w:rsidRPr="00616EEC" w:rsidRDefault="006B637D" w:rsidP="00616EEC">
      <w:pPr>
        <w:rPr>
          <w:rFonts w:ascii="Times New Roman" w:hAnsi="Times New Roman" w:cs="Times New Roman"/>
          <w:b/>
          <w:sz w:val="24"/>
          <w:szCs w:val="24"/>
          <w:lang w:val="en-US"/>
        </w:rPr>
      </w:pPr>
      <w:r w:rsidRPr="00616EEC">
        <w:rPr>
          <w:rFonts w:ascii="Times New Roman" w:hAnsi="Times New Roman" w:cs="Times New Roman"/>
          <w:b/>
          <w:sz w:val="24"/>
          <w:szCs w:val="24"/>
          <w:lang w:val="en-US"/>
        </w:rPr>
        <w:t>References</w:t>
      </w:r>
    </w:p>
    <w:p w:rsidR="006B637D" w:rsidRPr="000F6A9A" w:rsidRDefault="00204467" w:rsidP="006B637D">
      <w:pPr>
        <w:pStyle w:val="EndNoteBibliography"/>
        <w:ind w:left="720" w:hanging="720"/>
        <w:rPr>
          <w:lang w:val="en-US"/>
        </w:rPr>
      </w:pPr>
      <w:r>
        <w:rPr>
          <w:lang w:val="en-US"/>
        </w:rPr>
        <w:fldChar w:fldCharType="begin"/>
      </w:r>
      <w:r w:rsidR="006B637D">
        <w:rPr>
          <w:lang w:val="en-US"/>
        </w:rPr>
        <w:instrText xml:space="preserve"> ADDIN EN.REFLIST </w:instrText>
      </w:r>
      <w:r>
        <w:rPr>
          <w:lang w:val="en-US"/>
        </w:rPr>
        <w:fldChar w:fldCharType="separate"/>
      </w:r>
      <w:bookmarkStart w:id="3" w:name="_ENREF_1"/>
      <w:r w:rsidR="006B637D" w:rsidRPr="000F6A9A">
        <w:rPr>
          <w:lang w:val="en-US"/>
        </w:rPr>
        <w:t>1.</w:t>
      </w:r>
      <w:r w:rsidR="006B637D" w:rsidRPr="000F6A9A">
        <w:rPr>
          <w:lang w:val="en-US"/>
        </w:rPr>
        <w:tab/>
        <w:t>Compston A, Coles A. Multiple sclerosis. Lancet 2008;372(9648):1502-1517. doi: 1510.1016/S0140-6736(1508)61620-61627.</w:t>
      </w:r>
    </w:p>
    <w:bookmarkEnd w:id="3"/>
    <w:p w:rsidR="006B637D" w:rsidRPr="000F6A9A" w:rsidRDefault="006B637D" w:rsidP="006B637D">
      <w:pPr>
        <w:pStyle w:val="EndNoteBibliography"/>
        <w:rPr>
          <w:lang w:val="en-US"/>
        </w:rPr>
      </w:pPr>
    </w:p>
    <w:p w:rsidR="006B637D" w:rsidRPr="000F6A9A" w:rsidRDefault="006B637D" w:rsidP="006B637D">
      <w:pPr>
        <w:pStyle w:val="EndNoteBibliography"/>
        <w:ind w:left="720" w:hanging="720"/>
        <w:rPr>
          <w:lang w:val="en-US"/>
        </w:rPr>
      </w:pPr>
      <w:bookmarkStart w:id="4" w:name="_ENREF_2"/>
      <w:r w:rsidRPr="000F6A9A">
        <w:rPr>
          <w:lang w:val="en-US"/>
        </w:rPr>
        <w:t>2.</w:t>
      </w:r>
      <w:r w:rsidRPr="000F6A9A">
        <w:rPr>
          <w:lang w:val="en-US"/>
        </w:rPr>
        <w:tab/>
      </w:r>
      <w:hyperlink r:id="rId8" w:history="1">
        <w:r w:rsidRPr="000F6A9A">
          <w:rPr>
            <w:rStyle w:val="ae"/>
            <w:lang w:val="en-US"/>
          </w:rPr>
          <w:t>http://www.ncbi.nlm.nih.gov/pubmedhealth/PMH0001747/.[Accessed</w:t>
        </w:r>
      </w:hyperlink>
      <w:r w:rsidRPr="000F6A9A">
        <w:rPr>
          <w:lang w:val="en-US"/>
        </w:rPr>
        <w:t xml:space="preserve"> 12/02/2015]. Available from.</w:t>
      </w:r>
    </w:p>
    <w:bookmarkEnd w:id="4"/>
    <w:p w:rsidR="006B637D" w:rsidRPr="000F6A9A" w:rsidRDefault="006B637D" w:rsidP="006B637D">
      <w:pPr>
        <w:pStyle w:val="EndNoteBibliography"/>
        <w:rPr>
          <w:lang w:val="en-US"/>
        </w:rPr>
      </w:pPr>
    </w:p>
    <w:p w:rsidR="006B637D" w:rsidRPr="000F6A9A" w:rsidRDefault="006B637D" w:rsidP="006B637D">
      <w:pPr>
        <w:pStyle w:val="EndNoteBibliography"/>
        <w:ind w:left="720" w:hanging="720"/>
        <w:rPr>
          <w:lang w:val="en-US"/>
        </w:rPr>
      </w:pPr>
      <w:bookmarkStart w:id="5" w:name="_ENREF_3"/>
      <w:r w:rsidRPr="000F6A9A">
        <w:rPr>
          <w:lang w:val="en-US"/>
        </w:rPr>
        <w:t>3.</w:t>
      </w:r>
      <w:r w:rsidRPr="000F6A9A">
        <w:rPr>
          <w:lang w:val="en-US"/>
        </w:rPr>
        <w:tab/>
        <w:t>Simpson S, Jr., Blizzard L, Otahal P, Van der Mei I, Taylor B. Latitude is significantly associated with the prevalence of multiple sclerosis: a meta-analysis. J Neurol Neurosurg Psychiatry 2011;82(10):1132-1141. doi: 1110.1136/jnnp.2011.240432. Epub 242011 Apr 240438.</w:t>
      </w:r>
    </w:p>
    <w:bookmarkEnd w:id="5"/>
    <w:p w:rsidR="006B637D" w:rsidRPr="000F6A9A" w:rsidRDefault="006B637D" w:rsidP="006B637D">
      <w:pPr>
        <w:pStyle w:val="EndNoteBibliography"/>
        <w:rPr>
          <w:lang w:val="en-US"/>
        </w:rPr>
      </w:pPr>
    </w:p>
    <w:p w:rsidR="006B637D" w:rsidRPr="00405AAE" w:rsidRDefault="006B637D" w:rsidP="006B637D">
      <w:pPr>
        <w:pStyle w:val="EndNoteBibliography"/>
        <w:ind w:left="720" w:hanging="720"/>
      </w:pPr>
      <w:bookmarkStart w:id="6" w:name="_ENREF_4"/>
      <w:r w:rsidRPr="000F6A9A">
        <w:rPr>
          <w:lang w:val="en-US"/>
        </w:rPr>
        <w:t>4.</w:t>
      </w:r>
      <w:r w:rsidRPr="000F6A9A">
        <w:rPr>
          <w:lang w:val="en-US"/>
        </w:rPr>
        <w:tab/>
        <w:t xml:space="preserve">Berg-Hansen P, Moen SM, Harbo HF, Celius EG. High prevalence and no latitude gradient of multiple sclerosis in Norway. </w:t>
      </w:r>
      <w:r w:rsidRPr="00405AAE">
        <w:t>Mult Scler 2014;20(13):1780-1782. doi: 1710.1177/1352458514525871. Epub 1352458514522014 Mar 1352458514525876.</w:t>
      </w:r>
    </w:p>
    <w:bookmarkEnd w:id="6"/>
    <w:p w:rsidR="006B637D" w:rsidRPr="00405AAE" w:rsidRDefault="006B637D" w:rsidP="006B637D">
      <w:pPr>
        <w:pStyle w:val="EndNoteBibliography"/>
      </w:pPr>
    </w:p>
    <w:p w:rsidR="006B637D" w:rsidRPr="00405AAE" w:rsidRDefault="006B637D" w:rsidP="006B637D">
      <w:pPr>
        <w:pStyle w:val="EndNoteBibliography"/>
        <w:ind w:left="720" w:hanging="720"/>
      </w:pPr>
      <w:bookmarkStart w:id="7" w:name="_ENREF_5"/>
      <w:r w:rsidRPr="00405AAE">
        <w:t>5.</w:t>
      </w:r>
      <w:r w:rsidRPr="00405AAE">
        <w:tab/>
      </w:r>
      <w:hyperlink r:id="rId9" w:history="1">
        <w:r w:rsidRPr="00405AAE">
          <w:rPr>
            <w:rStyle w:val="ae"/>
          </w:rPr>
          <w:t>http://nevro.legehandboka.no/demyeliniserende-sykdommer/ms-multippel-sklerose-31960.html.[Accessed</w:t>
        </w:r>
      </w:hyperlink>
      <w:r w:rsidRPr="00405AAE">
        <w:t xml:space="preserve"> 12/02/2015]. Available from.</w:t>
      </w:r>
    </w:p>
    <w:bookmarkEnd w:id="7"/>
    <w:p w:rsidR="006B637D" w:rsidRPr="00405AAE" w:rsidRDefault="006B637D" w:rsidP="006B637D">
      <w:pPr>
        <w:pStyle w:val="EndNoteBibliography"/>
      </w:pPr>
    </w:p>
    <w:p w:rsidR="006B637D" w:rsidRPr="000F6A9A" w:rsidRDefault="006B637D" w:rsidP="006B637D">
      <w:pPr>
        <w:pStyle w:val="EndNoteBibliography"/>
        <w:ind w:left="720" w:hanging="720"/>
        <w:rPr>
          <w:lang w:val="en-US"/>
        </w:rPr>
      </w:pPr>
      <w:bookmarkStart w:id="8" w:name="_ENREF_6"/>
      <w:r w:rsidRPr="00405AAE">
        <w:t>6.</w:t>
      </w:r>
      <w:r w:rsidRPr="00405AAE">
        <w:tab/>
        <w:t xml:space="preserve">helsetjenesten Nkf. Slik oppsummerer vi forskning. Håndbok for Nasjonalt kunnskapssenter for helsetjenesten. </w:t>
      </w:r>
      <w:r w:rsidRPr="000F6A9A">
        <w:rPr>
          <w:lang w:val="en-US"/>
        </w:rPr>
        <w:t xml:space="preserve">3.2. reviderte utg. 2013.2013. </w:t>
      </w:r>
    </w:p>
    <w:bookmarkEnd w:id="8"/>
    <w:p w:rsidR="006B637D" w:rsidRPr="000F6A9A" w:rsidRDefault="006B637D" w:rsidP="006B637D">
      <w:pPr>
        <w:pStyle w:val="EndNoteBibliography"/>
        <w:rPr>
          <w:lang w:val="en-US"/>
        </w:rPr>
      </w:pPr>
    </w:p>
    <w:p w:rsidR="006B637D" w:rsidRPr="000F6A9A" w:rsidRDefault="006B637D" w:rsidP="006B637D">
      <w:pPr>
        <w:pStyle w:val="EndNoteBibliography"/>
        <w:ind w:left="720" w:hanging="720"/>
        <w:rPr>
          <w:lang w:val="en-US"/>
        </w:rPr>
      </w:pPr>
      <w:bookmarkStart w:id="9" w:name="_ENREF_7"/>
      <w:r w:rsidRPr="000F6A9A">
        <w:rPr>
          <w:lang w:val="en-US"/>
        </w:rPr>
        <w:t>7.</w:t>
      </w:r>
      <w:r w:rsidRPr="000F6A9A">
        <w:rPr>
          <w:lang w:val="en-US"/>
        </w:rPr>
        <w:tab/>
      </w:r>
      <w:hyperlink r:id="rId10" w:history="1">
        <w:r w:rsidRPr="000F6A9A">
          <w:rPr>
            <w:rStyle w:val="ae"/>
            <w:lang w:val="en-US"/>
          </w:rPr>
          <w:t>http://www.gradeworkinggroup.org/.[Accessed</w:t>
        </w:r>
      </w:hyperlink>
      <w:r w:rsidRPr="000F6A9A">
        <w:rPr>
          <w:lang w:val="en-US"/>
        </w:rPr>
        <w:t xml:space="preserve"> 12/02/2015]. Available from.</w:t>
      </w:r>
    </w:p>
    <w:bookmarkEnd w:id="9"/>
    <w:p w:rsidR="006B637D" w:rsidRPr="000F6A9A" w:rsidRDefault="006B637D" w:rsidP="006B637D">
      <w:pPr>
        <w:pStyle w:val="EndNoteBibliography"/>
        <w:rPr>
          <w:lang w:val="en-US"/>
        </w:rPr>
      </w:pPr>
    </w:p>
    <w:p w:rsidR="006B637D" w:rsidRPr="000F6A9A" w:rsidRDefault="006B637D" w:rsidP="006B637D">
      <w:pPr>
        <w:pStyle w:val="EndNoteBibliography"/>
        <w:ind w:left="720" w:hanging="720"/>
        <w:rPr>
          <w:lang w:val="en-US"/>
        </w:rPr>
      </w:pPr>
      <w:bookmarkStart w:id="10" w:name="_ENREF_8"/>
      <w:r w:rsidRPr="000F6A9A">
        <w:rPr>
          <w:lang w:val="en-US"/>
        </w:rPr>
        <w:t>8.</w:t>
      </w:r>
      <w:r w:rsidRPr="000F6A9A">
        <w:rPr>
          <w:lang w:val="en-US"/>
        </w:rPr>
        <w:tab/>
        <w:t>Salanti G, Higgins JP, Ades AE, Ioannidis JP. Evaluation of networks of randomized trials. Stat Methods Med Res 2008;17(3):279-301. Epub 2007 Oct 2009.</w:t>
      </w:r>
    </w:p>
    <w:bookmarkEnd w:id="10"/>
    <w:p w:rsidR="006B637D" w:rsidRPr="000F6A9A" w:rsidRDefault="006B637D" w:rsidP="006B637D">
      <w:pPr>
        <w:pStyle w:val="EndNoteBibliography"/>
        <w:rPr>
          <w:lang w:val="en-US"/>
        </w:rPr>
      </w:pPr>
    </w:p>
    <w:p w:rsidR="006B637D" w:rsidRPr="000F6A9A" w:rsidRDefault="006B637D" w:rsidP="006B637D">
      <w:pPr>
        <w:pStyle w:val="EndNoteBibliography"/>
        <w:ind w:left="720" w:hanging="720"/>
        <w:rPr>
          <w:lang w:val="en-US"/>
        </w:rPr>
      </w:pPr>
      <w:bookmarkStart w:id="11" w:name="_ENREF_9"/>
      <w:r w:rsidRPr="000F6A9A">
        <w:rPr>
          <w:lang w:val="en-US"/>
        </w:rPr>
        <w:t>9.</w:t>
      </w:r>
      <w:r w:rsidRPr="000F6A9A">
        <w:rPr>
          <w:lang w:val="en-US"/>
        </w:rPr>
        <w:tab/>
        <w:t>Dias S, Welton NJ, Caldwell DM, Ades AE. Checking consistency in mixed treatment comparison meta-analysis. Stat Med 2010;29(7-8):932-944. doi: 910.1002/sim.3767.</w:t>
      </w:r>
    </w:p>
    <w:bookmarkEnd w:id="11"/>
    <w:p w:rsidR="006B637D" w:rsidRPr="000F6A9A" w:rsidRDefault="006B637D" w:rsidP="006B637D">
      <w:pPr>
        <w:pStyle w:val="EndNoteBibliography"/>
        <w:rPr>
          <w:lang w:val="en-US"/>
        </w:rPr>
      </w:pPr>
    </w:p>
    <w:p w:rsidR="006B637D" w:rsidRPr="000F6A9A" w:rsidRDefault="006B637D" w:rsidP="006B637D">
      <w:pPr>
        <w:pStyle w:val="EndNoteBibliography"/>
        <w:ind w:left="720" w:hanging="720"/>
        <w:rPr>
          <w:lang w:val="en-US"/>
        </w:rPr>
      </w:pPr>
      <w:bookmarkStart w:id="12" w:name="_ENREF_10"/>
      <w:r w:rsidRPr="000F6A9A">
        <w:rPr>
          <w:lang w:val="en-US"/>
        </w:rPr>
        <w:t>10.</w:t>
      </w:r>
      <w:r w:rsidRPr="000F6A9A">
        <w:rPr>
          <w:lang w:val="en-US"/>
        </w:rPr>
        <w:tab/>
        <w:t>Salanti G, Ades AE, Ioannidis JP. Graphical methods and numerical summaries for presenting results from multiple-treatment meta-analysis: an overview and tutorial. J Clin Epidemiol 2011;64(2):163-171. doi: 110.1016/j.jclinepi.2010.1003.1016. Epub 2010 Aug 1015.</w:t>
      </w:r>
    </w:p>
    <w:bookmarkEnd w:id="12"/>
    <w:p w:rsidR="006B637D" w:rsidRPr="000F6A9A" w:rsidRDefault="006B637D" w:rsidP="006B637D">
      <w:pPr>
        <w:pStyle w:val="EndNoteBibliography"/>
        <w:rPr>
          <w:lang w:val="en-US"/>
        </w:rPr>
      </w:pPr>
    </w:p>
    <w:p w:rsidR="006B637D" w:rsidRPr="00405AAE" w:rsidRDefault="006B637D" w:rsidP="006B637D">
      <w:pPr>
        <w:pStyle w:val="EndNoteBibliography"/>
        <w:ind w:left="720" w:hanging="720"/>
      </w:pPr>
      <w:bookmarkStart w:id="13" w:name="_ENREF_11"/>
      <w:r w:rsidRPr="000F6A9A">
        <w:rPr>
          <w:lang w:val="en-US"/>
        </w:rPr>
        <w:t>11.</w:t>
      </w:r>
      <w:r w:rsidRPr="000F6A9A">
        <w:rPr>
          <w:lang w:val="en-US"/>
        </w:rPr>
        <w:tab/>
        <w:t xml:space="preserve">Puhan MA, Schunemann HJ, Murad MH, Li T, Brignardello-Petersen R, Singh JA, et al. A GRADE Working Group approach for rating the quality of treatment effect estimates from network meta-analysis. </w:t>
      </w:r>
      <w:r w:rsidRPr="00405AAE">
        <w:t>BMJ 2014;349:g5630.(doi):10.1136/bmj.g5630.</w:t>
      </w:r>
    </w:p>
    <w:bookmarkEnd w:id="13"/>
    <w:p w:rsidR="006B637D" w:rsidRPr="00405AAE" w:rsidRDefault="006B637D" w:rsidP="006B637D">
      <w:pPr>
        <w:pStyle w:val="EndNoteBibliography"/>
      </w:pPr>
    </w:p>
    <w:p w:rsidR="006B637D" w:rsidRPr="00405AAE" w:rsidRDefault="006B637D" w:rsidP="006B637D">
      <w:pPr>
        <w:pStyle w:val="EndNoteBibliography"/>
        <w:ind w:left="720" w:hanging="720"/>
      </w:pPr>
      <w:bookmarkStart w:id="14" w:name="_ENREF_12"/>
      <w:r w:rsidRPr="00405AAE">
        <w:t>12.</w:t>
      </w:r>
      <w:r w:rsidRPr="00405AAE">
        <w:tab/>
      </w:r>
      <w:hyperlink r:id="rId11" w:history="1">
        <w:r w:rsidRPr="00405AAE">
          <w:rPr>
            <w:rStyle w:val="ae"/>
          </w:rPr>
          <w:t>http://www.decide-collaboration.eu/tools-decision-making-and-dissemination-under-development.[Accessed</w:t>
        </w:r>
      </w:hyperlink>
      <w:r w:rsidRPr="00405AAE">
        <w:t xml:space="preserve"> 13/02/2015]. Available from.</w:t>
      </w:r>
    </w:p>
    <w:bookmarkEnd w:id="14"/>
    <w:p w:rsidR="006B637D" w:rsidRPr="00405AAE" w:rsidRDefault="006B637D" w:rsidP="006B637D">
      <w:pPr>
        <w:pStyle w:val="EndNoteBibliography"/>
      </w:pPr>
    </w:p>
    <w:p w:rsidR="006B637D" w:rsidRPr="00FD4531" w:rsidRDefault="006B637D" w:rsidP="006B637D">
      <w:pPr>
        <w:pStyle w:val="EndNoteBibliography"/>
        <w:ind w:left="720" w:hanging="720"/>
        <w:rPr>
          <w:lang w:val="en-US"/>
        </w:rPr>
      </w:pPr>
      <w:bookmarkStart w:id="15" w:name="_ENREF_13"/>
      <w:r w:rsidRPr="00405AAE">
        <w:t>13.</w:t>
      </w:r>
      <w:r w:rsidRPr="00405AAE">
        <w:tab/>
        <w:t>Finance NMo. Prinsipper og krav ved utarbeidelse av samfunnsøkonomiske analyser mv. Rundskriv R-109/14 2014.</w:t>
      </w:r>
      <w:bookmarkEnd w:id="15"/>
      <w:r w:rsidR="00204467">
        <w:rPr>
          <w:lang w:val="en-US"/>
        </w:rPr>
        <w:fldChar w:fldCharType="end"/>
      </w:r>
    </w:p>
    <w:p w:rsidR="004A331F" w:rsidRDefault="004A331F" w:rsidP="00616EEC">
      <w:pPr>
        <w:pStyle w:val="NormalBilledplassering"/>
      </w:pPr>
    </w:p>
    <w:p w:rsidR="000D044E" w:rsidRDefault="000D044E" w:rsidP="000D044E"/>
    <w:p w:rsidR="000D044E" w:rsidRPr="000D044E" w:rsidRDefault="000D044E" w:rsidP="000D044E">
      <w:pPr>
        <w:pStyle w:val="20"/>
        <w:numPr>
          <w:ilvl w:val="0"/>
          <w:numId w:val="0"/>
        </w:numPr>
        <w:jc w:val="both"/>
        <w:rPr>
          <w:rFonts w:ascii="Times New Roman" w:hAnsi="Times New Roman" w:cs="Times New Roman"/>
          <w:sz w:val="28"/>
        </w:rPr>
      </w:pPr>
      <w:r w:rsidRPr="000D044E">
        <w:rPr>
          <w:rFonts w:ascii="Times New Roman" w:hAnsi="Times New Roman" w:cs="Times New Roman"/>
          <w:sz w:val="28"/>
        </w:rPr>
        <w:t xml:space="preserve">Supplementary material </w:t>
      </w:r>
      <w:r>
        <w:rPr>
          <w:rFonts w:ascii="Times New Roman" w:hAnsi="Times New Roman" w:cs="Times New Roman"/>
          <w:sz w:val="28"/>
        </w:rPr>
        <w:t>3</w:t>
      </w:r>
      <w:r w:rsidRPr="000D044E">
        <w:rPr>
          <w:rFonts w:ascii="Times New Roman" w:hAnsi="Times New Roman" w:cs="Times New Roman"/>
          <w:sz w:val="28"/>
        </w:rPr>
        <w:t xml:space="preserve"> </w:t>
      </w:r>
      <w:r w:rsidR="00EA1F1D">
        <w:rPr>
          <w:rFonts w:ascii="Times New Roman" w:hAnsi="Times New Roman" w:cs="Times New Roman"/>
          <w:sz w:val="28"/>
        </w:rPr>
        <w:t>M</w:t>
      </w:r>
      <w:r w:rsidR="00B76419">
        <w:rPr>
          <w:rFonts w:ascii="Times New Roman" w:hAnsi="Times New Roman" w:cs="Times New Roman"/>
          <w:sz w:val="28"/>
        </w:rPr>
        <w:t>odel structure</w:t>
      </w:r>
    </w:p>
    <w:p w:rsidR="004A331F" w:rsidRPr="000D044E" w:rsidRDefault="004A331F" w:rsidP="00616EEC">
      <w:pPr>
        <w:pStyle w:val="NormalBilledplassering"/>
        <w:rPr>
          <w:lang w:val="en-GB"/>
        </w:rPr>
      </w:pPr>
    </w:p>
    <w:p w:rsidR="00B76419" w:rsidRPr="00F7606D" w:rsidRDefault="000D044E" w:rsidP="00B76419">
      <w:pPr>
        <w:pStyle w:val="Figurtekst"/>
        <w:spacing w:before="0" w:after="0"/>
        <w:rPr>
          <w:sz w:val="22"/>
          <w:szCs w:val="22"/>
          <w:lang w:val="en-GB"/>
        </w:rPr>
      </w:pPr>
      <w:r w:rsidRPr="000D044E">
        <w:rPr>
          <w:noProof/>
          <w:highlight w:val="yellow"/>
          <w:lang w:val="en-US" w:eastAsia="zh-CN"/>
        </w:rPr>
        <w:drawing>
          <wp:anchor distT="0" distB="0" distL="114300" distR="114300" simplePos="0" relativeHeight="251661312" behindDoc="0" locked="0" layoutInCell="1" allowOverlap="1">
            <wp:simplePos x="0" y="0"/>
            <wp:positionH relativeFrom="column">
              <wp:posOffset>-3175</wp:posOffset>
            </wp:positionH>
            <wp:positionV relativeFrom="paragraph">
              <wp:posOffset>-635</wp:posOffset>
            </wp:positionV>
            <wp:extent cx="5400000" cy="3117600"/>
            <wp:effectExtent l="0" t="0" r="0" b="6985"/>
            <wp:wrapTopAndBottom/>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resentation1.jp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04" t="12011" r="10530" b="8461"/>
                    <a:stretch/>
                  </pic:blipFill>
                  <pic:spPr bwMode="auto">
                    <a:xfrm>
                      <a:off x="0" y="0"/>
                      <a:ext cx="5400000" cy="31176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76419">
        <w:rPr>
          <w:sz w:val="22"/>
          <w:szCs w:val="22"/>
          <w:lang w:val="en-GB"/>
        </w:rPr>
        <w:t>E</w:t>
      </w:r>
      <w:r w:rsidR="00B76419" w:rsidRPr="00F7606D">
        <w:rPr>
          <w:sz w:val="22"/>
          <w:szCs w:val="22"/>
          <w:lang w:val="en-GB"/>
        </w:rPr>
        <w:t>DSS: Expanded Disability Status Scale; RRMS: relapsing-remitting multiple sclerosis; SMPM: Secondary-progressive multiple sclerosis</w:t>
      </w:r>
    </w:p>
    <w:p w:rsidR="00B76419" w:rsidRPr="00F7606D" w:rsidRDefault="00B76419" w:rsidP="00B76419">
      <w:pPr>
        <w:pStyle w:val="Figurtekst"/>
        <w:spacing w:before="0" w:after="0"/>
        <w:rPr>
          <w:sz w:val="22"/>
          <w:szCs w:val="22"/>
          <w:lang w:val="en-GB"/>
        </w:rPr>
      </w:pPr>
      <w:r w:rsidRPr="00F7606D">
        <w:rPr>
          <w:sz w:val="22"/>
          <w:szCs w:val="22"/>
          <w:lang w:val="en-GB"/>
        </w:rPr>
        <w:t xml:space="preserve">Note: Patients with EDSS over 5 can also progress to SPMS. Mild or moderate and severe relapses can occur in EDSS below 6 as events. </w:t>
      </w:r>
    </w:p>
    <w:p w:rsidR="000D044E" w:rsidRPr="00B76419" w:rsidRDefault="000D044E" w:rsidP="00B76419">
      <w:pPr>
        <w:pStyle w:val="NormalBilledplassering"/>
        <w:rPr>
          <w:rFonts w:ascii="Times New Roman" w:hAnsi="Times New Roman"/>
          <w:sz w:val="28"/>
          <w:lang w:val="en-GB"/>
        </w:rPr>
      </w:pPr>
    </w:p>
    <w:p w:rsidR="000D044E" w:rsidRDefault="000D044E" w:rsidP="000D044E"/>
    <w:p w:rsidR="000D044E" w:rsidRPr="00B76419" w:rsidRDefault="000D044E" w:rsidP="000D044E">
      <w:pPr>
        <w:pStyle w:val="NormalBilledplassering"/>
        <w:rPr>
          <w:lang w:val="en-GB"/>
        </w:rPr>
      </w:pPr>
    </w:p>
    <w:p w:rsidR="00D31780" w:rsidRDefault="00D31780" w:rsidP="00D31780">
      <w:pPr>
        <w:pStyle w:val="20"/>
        <w:numPr>
          <w:ilvl w:val="0"/>
          <w:numId w:val="0"/>
        </w:numPr>
        <w:jc w:val="both"/>
        <w:rPr>
          <w:rFonts w:ascii="Times New Roman" w:hAnsi="Times New Roman" w:cs="Times New Roman"/>
          <w:sz w:val="28"/>
        </w:rPr>
      </w:pPr>
      <w:r w:rsidRPr="007F3BF7">
        <w:rPr>
          <w:rFonts w:ascii="Times New Roman" w:hAnsi="Times New Roman" w:cs="Times New Roman"/>
          <w:sz w:val="28"/>
        </w:rPr>
        <w:t xml:space="preserve">Supplementary material </w:t>
      </w:r>
      <w:r w:rsidR="000D044E">
        <w:rPr>
          <w:rFonts w:ascii="Times New Roman" w:hAnsi="Times New Roman" w:cs="Times New Roman"/>
          <w:sz w:val="28"/>
        </w:rPr>
        <w:t>4</w:t>
      </w:r>
      <w:r>
        <w:rPr>
          <w:rFonts w:ascii="Times New Roman" w:hAnsi="Times New Roman" w:cs="Times New Roman"/>
          <w:sz w:val="28"/>
        </w:rPr>
        <w:t xml:space="preserve"> EDSS distribution used in the model</w:t>
      </w:r>
    </w:p>
    <w:p w:rsidR="00D31780" w:rsidRPr="00D31780" w:rsidRDefault="00D31780" w:rsidP="00D31780"/>
    <w:tbl>
      <w:tblPr>
        <w:tblStyle w:val="afff"/>
        <w:tblW w:w="5765" w:type="dxa"/>
        <w:tblInd w:w="108" w:type="dxa"/>
        <w:tblLook w:val="04A0"/>
      </w:tblPr>
      <w:tblGrid>
        <w:gridCol w:w="1776"/>
        <w:gridCol w:w="2048"/>
        <w:gridCol w:w="1941"/>
      </w:tblGrid>
      <w:tr w:rsidR="00D31780" w:rsidRPr="00F7606D" w:rsidTr="0075275D">
        <w:trPr>
          <w:trHeight w:val="536"/>
          <w:tblHeader/>
        </w:trPr>
        <w:tc>
          <w:tcPr>
            <w:tcW w:w="1776" w:type="dxa"/>
            <w:shd w:val="clear" w:color="auto" w:fill="D9D9D9" w:themeFill="background1" w:themeFillShade="D9"/>
            <w:vAlign w:val="center"/>
          </w:tcPr>
          <w:p w:rsidR="00D31780" w:rsidRPr="00F7606D" w:rsidRDefault="00D31780" w:rsidP="00435B8F">
            <w:pPr>
              <w:pStyle w:val="Tabelltekst"/>
              <w:jc w:val="center"/>
              <w:rPr>
                <w:b/>
                <w:lang w:val="en-GB"/>
              </w:rPr>
            </w:pPr>
            <w:r w:rsidRPr="00F7606D">
              <w:rPr>
                <w:b/>
                <w:lang w:val="en-GB"/>
              </w:rPr>
              <w:t>EDSS score</w:t>
            </w:r>
          </w:p>
        </w:tc>
        <w:tc>
          <w:tcPr>
            <w:tcW w:w="2048" w:type="dxa"/>
            <w:shd w:val="clear" w:color="auto" w:fill="D9D9D9" w:themeFill="background1" w:themeFillShade="D9"/>
            <w:vAlign w:val="center"/>
          </w:tcPr>
          <w:p w:rsidR="00D31780" w:rsidRPr="00F7606D" w:rsidRDefault="00D31780" w:rsidP="00435B8F">
            <w:pPr>
              <w:pStyle w:val="Tabelltekst"/>
              <w:jc w:val="center"/>
              <w:rPr>
                <w:b/>
                <w:lang w:val="en-GB"/>
              </w:rPr>
            </w:pPr>
            <w:r w:rsidRPr="00F7606D">
              <w:rPr>
                <w:b/>
                <w:lang w:val="en-GB"/>
              </w:rPr>
              <w:t>Distributions (%)</w:t>
            </w:r>
          </w:p>
        </w:tc>
        <w:tc>
          <w:tcPr>
            <w:tcW w:w="1941" w:type="dxa"/>
            <w:shd w:val="clear" w:color="auto" w:fill="D9D9D9" w:themeFill="background1" w:themeFillShade="D9"/>
            <w:vAlign w:val="center"/>
          </w:tcPr>
          <w:p w:rsidR="00D31780" w:rsidRPr="00F7606D" w:rsidRDefault="00D31780" w:rsidP="00435B8F">
            <w:pPr>
              <w:pStyle w:val="Tabelltekst"/>
              <w:jc w:val="center"/>
              <w:rPr>
                <w:b/>
                <w:lang w:val="en-GB"/>
              </w:rPr>
            </w:pPr>
            <w:r w:rsidRPr="00F7606D">
              <w:rPr>
                <w:b/>
                <w:lang w:val="en-GB"/>
              </w:rPr>
              <w:t>Standard error</w:t>
            </w:r>
          </w:p>
        </w:tc>
      </w:tr>
      <w:tr w:rsidR="00D31780" w:rsidRPr="00F7606D" w:rsidTr="00435B8F">
        <w:trPr>
          <w:trHeight w:val="521"/>
        </w:trPr>
        <w:tc>
          <w:tcPr>
            <w:tcW w:w="1776" w:type="dxa"/>
            <w:vAlign w:val="center"/>
          </w:tcPr>
          <w:p w:rsidR="00D31780" w:rsidRPr="00F7606D" w:rsidRDefault="00D31780" w:rsidP="00435B8F">
            <w:pPr>
              <w:pStyle w:val="Tabelltekst"/>
              <w:jc w:val="center"/>
              <w:rPr>
                <w:lang w:val="en-GB"/>
              </w:rPr>
            </w:pPr>
            <w:r w:rsidRPr="00F7606D">
              <w:rPr>
                <w:lang w:val="en-GB"/>
              </w:rPr>
              <w:t>0</w:t>
            </w:r>
          </w:p>
        </w:tc>
        <w:tc>
          <w:tcPr>
            <w:tcW w:w="2048" w:type="dxa"/>
            <w:vAlign w:val="center"/>
          </w:tcPr>
          <w:p w:rsidR="00D31780" w:rsidRPr="00F7606D" w:rsidRDefault="00D31780" w:rsidP="00435B8F">
            <w:pPr>
              <w:pStyle w:val="Tabelltekst"/>
              <w:jc w:val="center"/>
              <w:rPr>
                <w:rFonts w:cs="Arial"/>
                <w:lang w:val="en-GB"/>
              </w:rPr>
            </w:pPr>
            <w:r w:rsidRPr="00F7606D">
              <w:rPr>
                <w:rFonts w:cs="Arial"/>
                <w:color w:val="000000"/>
                <w:szCs w:val="22"/>
                <w:lang w:val="en-GB"/>
              </w:rPr>
              <w:t>5.10</w:t>
            </w:r>
          </w:p>
        </w:tc>
        <w:tc>
          <w:tcPr>
            <w:tcW w:w="1941" w:type="dxa"/>
            <w:vAlign w:val="center"/>
          </w:tcPr>
          <w:p w:rsidR="00D31780" w:rsidRPr="00F7606D" w:rsidRDefault="00D31780" w:rsidP="00435B8F">
            <w:pPr>
              <w:pStyle w:val="Tabelltekst"/>
              <w:jc w:val="center"/>
              <w:rPr>
                <w:lang w:val="en-GB"/>
              </w:rPr>
            </w:pPr>
            <w:r w:rsidRPr="00F7606D">
              <w:rPr>
                <w:lang w:val="en-GB"/>
              </w:rPr>
              <w:t>0.003</w:t>
            </w:r>
          </w:p>
        </w:tc>
      </w:tr>
      <w:tr w:rsidR="00D31780" w:rsidRPr="00F7606D" w:rsidTr="00435B8F">
        <w:trPr>
          <w:trHeight w:val="507"/>
        </w:trPr>
        <w:tc>
          <w:tcPr>
            <w:tcW w:w="1776" w:type="dxa"/>
            <w:vAlign w:val="center"/>
          </w:tcPr>
          <w:p w:rsidR="00D31780" w:rsidRPr="00F7606D" w:rsidRDefault="00D31780" w:rsidP="00435B8F">
            <w:pPr>
              <w:pStyle w:val="Tabelltekst"/>
              <w:jc w:val="center"/>
              <w:rPr>
                <w:lang w:val="en-GB"/>
              </w:rPr>
            </w:pPr>
            <w:r w:rsidRPr="00F7606D">
              <w:rPr>
                <w:lang w:val="en-GB"/>
              </w:rPr>
              <w:t>1</w:t>
            </w:r>
          </w:p>
        </w:tc>
        <w:tc>
          <w:tcPr>
            <w:tcW w:w="2048" w:type="dxa"/>
            <w:vAlign w:val="center"/>
          </w:tcPr>
          <w:p w:rsidR="00D31780" w:rsidRPr="00F7606D" w:rsidRDefault="00D31780" w:rsidP="00435B8F">
            <w:pPr>
              <w:pStyle w:val="Tabelltekst"/>
              <w:jc w:val="center"/>
              <w:rPr>
                <w:rFonts w:cs="Arial"/>
                <w:lang w:val="en-GB"/>
              </w:rPr>
            </w:pPr>
            <w:r w:rsidRPr="00F7606D">
              <w:rPr>
                <w:rFonts w:cs="Arial"/>
                <w:color w:val="000000"/>
                <w:szCs w:val="22"/>
                <w:lang w:val="en-GB"/>
              </w:rPr>
              <w:t>24.60</w:t>
            </w:r>
          </w:p>
        </w:tc>
        <w:tc>
          <w:tcPr>
            <w:tcW w:w="1941" w:type="dxa"/>
            <w:vAlign w:val="center"/>
          </w:tcPr>
          <w:p w:rsidR="00D31780" w:rsidRPr="00F7606D" w:rsidRDefault="00D31780" w:rsidP="00435B8F">
            <w:pPr>
              <w:pStyle w:val="Tabelltekst"/>
              <w:jc w:val="center"/>
              <w:rPr>
                <w:lang w:val="en-GB"/>
              </w:rPr>
            </w:pPr>
            <w:r w:rsidRPr="00F7606D">
              <w:rPr>
                <w:lang w:val="en-GB"/>
              </w:rPr>
              <w:t>0.013</w:t>
            </w:r>
          </w:p>
        </w:tc>
      </w:tr>
      <w:tr w:rsidR="00D31780" w:rsidRPr="00F7606D" w:rsidTr="00435B8F">
        <w:trPr>
          <w:trHeight w:val="568"/>
        </w:trPr>
        <w:tc>
          <w:tcPr>
            <w:tcW w:w="1776" w:type="dxa"/>
            <w:vAlign w:val="center"/>
          </w:tcPr>
          <w:p w:rsidR="00D31780" w:rsidRPr="00F7606D" w:rsidRDefault="00D31780" w:rsidP="00435B8F">
            <w:pPr>
              <w:pStyle w:val="Tabelltekst"/>
              <w:jc w:val="center"/>
              <w:rPr>
                <w:lang w:val="en-GB"/>
              </w:rPr>
            </w:pPr>
            <w:r w:rsidRPr="00F7606D">
              <w:rPr>
                <w:lang w:val="en-GB"/>
              </w:rPr>
              <w:t>2</w:t>
            </w:r>
          </w:p>
        </w:tc>
        <w:tc>
          <w:tcPr>
            <w:tcW w:w="2048" w:type="dxa"/>
            <w:vAlign w:val="center"/>
          </w:tcPr>
          <w:p w:rsidR="00D31780" w:rsidRPr="00F7606D" w:rsidRDefault="00D31780" w:rsidP="00435B8F">
            <w:pPr>
              <w:pStyle w:val="Tabelltekst"/>
              <w:jc w:val="center"/>
              <w:rPr>
                <w:rFonts w:cs="Arial"/>
                <w:lang w:val="en-GB"/>
              </w:rPr>
            </w:pPr>
            <w:r w:rsidRPr="00F7606D">
              <w:rPr>
                <w:rFonts w:cs="Arial"/>
                <w:color w:val="000000"/>
                <w:szCs w:val="22"/>
                <w:lang w:val="en-GB"/>
              </w:rPr>
              <w:t>29.30</w:t>
            </w:r>
          </w:p>
        </w:tc>
        <w:tc>
          <w:tcPr>
            <w:tcW w:w="1941" w:type="dxa"/>
            <w:vAlign w:val="center"/>
          </w:tcPr>
          <w:p w:rsidR="00D31780" w:rsidRPr="00F7606D" w:rsidRDefault="00D31780" w:rsidP="00435B8F">
            <w:pPr>
              <w:pStyle w:val="Tabelltekst"/>
              <w:jc w:val="center"/>
              <w:rPr>
                <w:lang w:val="en-GB"/>
              </w:rPr>
            </w:pPr>
            <w:r w:rsidRPr="00F7606D">
              <w:rPr>
                <w:lang w:val="en-GB"/>
              </w:rPr>
              <w:t>0.015</w:t>
            </w:r>
          </w:p>
        </w:tc>
      </w:tr>
      <w:tr w:rsidR="00D31780" w:rsidRPr="00F7606D" w:rsidTr="00435B8F">
        <w:trPr>
          <w:trHeight w:val="531"/>
        </w:trPr>
        <w:tc>
          <w:tcPr>
            <w:tcW w:w="1776" w:type="dxa"/>
            <w:vAlign w:val="center"/>
          </w:tcPr>
          <w:p w:rsidR="00D31780" w:rsidRPr="00F7606D" w:rsidRDefault="00D31780" w:rsidP="00435B8F">
            <w:pPr>
              <w:pStyle w:val="Tabelltekst"/>
              <w:jc w:val="center"/>
              <w:rPr>
                <w:lang w:val="en-GB"/>
              </w:rPr>
            </w:pPr>
            <w:r w:rsidRPr="00F7606D">
              <w:rPr>
                <w:lang w:val="en-GB"/>
              </w:rPr>
              <w:t>3</w:t>
            </w:r>
          </w:p>
        </w:tc>
        <w:tc>
          <w:tcPr>
            <w:tcW w:w="2048" w:type="dxa"/>
            <w:vAlign w:val="center"/>
          </w:tcPr>
          <w:p w:rsidR="00D31780" w:rsidRPr="00F7606D" w:rsidRDefault="00D31780" w:rsidP="00435B8F">
            <w:pPr>
              <w:pStyle w:val="Tabelltekst"/>
              <w:jc w:val="center"/>
              <w:rPr>
                <w:rFonts w:cs="Arial"/>
                <w:lang w:val="en-GB"/>
              </w:rPr>
            </w:pPr>
            <w:r w:rsidRPr="00F7606D">
              <w:rPr>
                <w:rFonts w:cs="Arial"/>
                <w:color w:val="000000"/>
                <w:szCs w:val="22"/>
                <w:lang w:val="en-GB"/>
              </w:rPr>
              <w:t>24.70</w:t>
            </w:r>
          </w:p>
        </w:tc>
        <w:tc>
          <w:tcPr>
            <w:tcW w:w="1941" w:type="dxa"/>
            <w:vAlign w:val="center"/>
          </w:tcPr>
          <w:p w:rsidR="00D31780" w:rsidRPr="00F7606D" w:rsidRDefault="00D31780" w:rsidP="00435B8F">
            <w:pPr>
              <w:pStyle w:val="Tabelltekst"/>
              <w:jc w:val="center"/>
              <w:rPr>
                <w:lang w:val="en-GB"/>
              </w:rPr>
            </w:pPr>
            <w:r w:rsidRPr="00F7606D">
              <w:rPr>
                <w:lang w:val="en-GB"/>
              </w:rPr>
              <w:t>0.013</w:t>
            </w:r>
          </w:p>
        </w:tc>
      </w:tr>
      <w:tr w:rsidR="00D31780" w:rsidRPr="00F7606D" w:rsidTr="00435B8F">
        <w:trPr>
          <w:trHeight w:val="531"/>
        </w:trPr>
        <w:tc>
          <w:tcPr>
            <w:tcW w:w="1776" w:type="dxa"/>
            <w:vAlign w:val="center"/>
          </w:tcPr>
          <w:p w:rsidR="00D31780" w:rsidRPr="00F7606D" w:rsidRDefault="00D31780" w:rsidP="00435B8F">
            <w:pPr>
              <w:pStyle w:val="Tabelltekst"/>
              <w:jc w:val="center"/>
              <w:rPr>
                <w:lang w:val="en-GB"/>
              </w:rPr>
            </w:pPr>
            <w:r w:rsidRPr="00F7606D">
              <w:rPr>
                <w:lang w:val="en-GB"/>
              </w:rPr>
              <w:t>4</w:t>
            </w:r>
          </w:p>
        </w:tc>
        <w:tc>
          <w:tcPr>
            <w:tcW w:w="2048" w:type="dxa"/>
            <w:vAlign w:val="center"/>
          </w:tcPr>
          <w:p w:rsidR="00D31780" w:rsidRPr="00F7606D" w:rsidRDefault="00D31780" w:rsidP="00435B8F">
            <w:pPr>
              <w:pStyle w:val="Tabelltekst"/>
              <w:jc w:val="center"/>
              <w:rPr>
                <w:rFonts w:cs="Arial"/>
                <w:lang w:val="en-GB"/>
              </w:rPr>
            </w:pPr>
            <w:r w:rsidRPr="00F7606D">
              <w:rPr>
                <w:rFonts w:cs="Arial"/>
                <w:color w:val="000000"/>
                <w:szCs w:val="22"/>
                <w:lang w:val="en-GB"/>
              </w:rPr>
              <w:t>12.70</w:t>
            </w:r>
          </w:p>
        </w:tc>
        <w:tc>
          <w:tcPr>
            <w:tcW w:w="1941" w:type="dxa"/>
            <w:vAlign w:val="center"/>
          </w:tcPr>
          <w:p w:rsidR="00D31780" w:rsidRPr="00F7606D" w:rsidRDefault="00D31780" w:rsidP="00435B8F">
            <w:pPr>
              <w:pStyle w:val="Tabelltekst"/>
              <w:jc w:val="center"/>
              <w:rPr>
                <w:lang w:val="en-GB"/>
              </w:rPr>
            </w:pPr>
            <w:r w:rsidRPr="00F7606D">
              <w:rPr>
                <w:lang w:val="en-GB"/>
              </w:rPr>
              <w:t>0.006</w:t>
            </w:r>
          </w:p>
        </w:tc>
      </w:tr>
      <w:tr w:rsidR="00D31780" w:rsidRPr="00F7606D" w:rsidTr="00435B8F">
        <w:trPr>
          <w:trHeight w:val="531"/>
        </w:trPr>
        <w:tc>
          <w:tcPr>
            <w:tcW w:w="1776" w:type="dxa"/>
            <w:vAlign w:val="center"/>
          </w:tcPr>
          <w:p w:rsidR="00D31780" w:rsidRPr="00F7606D" w:rsidRDefault="00D31780" w:rsidP="00435B8F">
            <w:pPr>
              <w:pStyle w:val="Tabelltekst"/>
              <w:jc w:val="center"/>
              <w:rPr>
                <w:lang w:val="en-GB"/>
              </w:rPr>
            </w:pPr>
            <w:r w:rsidRPr="00F7606D">
              <w:rPr>
                <w:lang w:val="en-GB"/>
              </w:rPr>
              <w:t>≥ 5</w:t>
            </w:r>
          </w:p>
        </w:tc>
        <w:tc>
          <w:tcPr>
            <w:tcW w:w="2048" w:type="dxa"/>
            <w:vAlign w:val="center"/>
          </w:tcPr>
          <w:p w:rsidR="00D31780" w:rsidRPr="00F7606D" w:rsidRDefault="00D31780" w:rsidP="00435B8F">
            <w:pPr>
              <w:pStyle w:val="Tabelltekst"/>
              <w:jc w:val="center"/>
              <w:rPr>
                <w:rFonts w:cs="Arial"/>
                <w:lang w:val="en-GB"/>
              </w:rPr>
            </w:pPr>
            <w:r w:rsidRPr="00F7606D">
              <w:rPr>
                <w:rFonts w:cs="Arial"/>
                <w:color w:val="000000"/>
                <w:szCs w:val="22"/>
                <w:lang w:val="en-GB"/>
              </w:rPr>
              <w:t>3.60</w:t>
            </w:r>
          </w:p>
        </w:tc>
        <w:tc>
          <w:tcPr>
            <w:tcW w:w="1941" w:type="dxa"/>
            <w:vAlign w:val="center"/>
          </w:tcPr>
          <w:p w:rsidR="00D31780" w:rsidRPr="00F7606D" w:rsidRDefault="00D31780" w:rsidP="00435B8F">
            <w:pPr>
              <w:pStyle w:val="Tabelltekst"/>
              <w:jc w:val="center"/>
              <w:rPr>
                <w:lang w:val="en-GB"/>
              </w:rPr>
            </w:pPr>
            <w:r w:rsidRPr="00F7606D">
              <w:rPr>
                <w:lang w:val="en-GB"/>
              </w:rPr>
              <w:t>0.002</w:t>
            </w:r>
          </w:p>
        </w:tc>
      </w:tr>
    </w:tbl>
    <w:p w:rsidR="00D31780" w:rsidRPr="00F7606D" w:rsidRDefault="00D31780" w:rsidP="00D31780">
      <w:pPr>
        <w:pStyle w:val="NormalBilledplassering"/>
        <w:rPr>
          <w:noProof w:val="0"/>
          <w:sz w:val="20"/>
          <w:szCs w:val="20"/>
          <w:lang w:val="en-GB"/>
        </w:rPr>
      </w:pPr>
      <w:r w:rsidRPr="00F7606D">
        <w:rPr>
          <w:noProof w:val="0"/>
          <w:sz w:val="20"/>
          <w:szCs w:val="20"/>
          <w:lang w:val="en-GB"/>
        </w:rPr>
        <w:t xml:space="preserve">  EDSS: Expanded Disability Status Scale</w:t>
      </w:r>
    </w:p>
    <w:p w:rsidR="00D31780" w:rsidRPr="00F7606D" w:rsidRDefault="00D31780" w:rsidP="00D31780">
      <w:pPr>
        <w:pStyle w:val="NormalBilledplassering"/>
        <w:rPr>
          <w:noProof w:val="0"/>
          <w:sz w:val="20"/>
          <w:szCs w:val="20"/>
          <w:lang w:val="en-GB"/>
        </w:rPr>
      </w:pPr>
      <w:r w:rsidRPr="00F7606D">
        <w:rPr>
          <w:noProof w:val="0"/>
          <w:sz w:val="20"/>
          <w:szCs w:val="20"/>
          <w:lang w:val="en-GB"/>
        </w:rPr>
        <w:t xml:space="preserve">  Source: Nixon </w:t>
      </w:r>
      <w:r w:rsidRPr="00F7606D">
        <w:rPr>
          <w:i/>
          <w:noProof w:val="0"/>
          <w:sz w:val="20"/>
          <w:szCs w:val="20"/>
          <w:lang w:val="en-GB"/>
        </w:rPr>
        <w:t>et.a</w:t>
      </w:r>
      <w:r w:rsidRPr="00F7606D">
        <w:rPr>
          <w:noProof w:val="0"/>
          <w:sz w:val="20"/>
          <w:szCs w:val="20"/>
          <w:lang w:val="en-GB"/>
        </w:rPr>
        <w:t xml:space="preserve">l 2014 </w:t>
      </w:r>
    </w:p>
    <w:p w:rsidR="000D044E" w:rsidRDefault="000D044E" w:rsidP="000D044E">
      <w:pPr>
        <w:pStyle w:val="NormalBilledplassering"/>
      </w:pPr>
    </w:p>
    <w:p w:rsidR="00D31780" w:rsidRDefault="00D31780" w:rsidP="00D31780">
      <w:pPr>
        <w:pStyle w:val="20"/>
        <w:numPr>
          <w:ilvl w:val="0"/>
          <w:numId w:val="0"/>
        </w:numPr>
        <w:jc w:val="both"/>
        <w:rPr>
          <w:rFonts w:ascii="Times New Roman" w:hAnsi="Times New Roman" w:cs="Times New Roman"/>
          <w:sz w:val="28"/>
        </w:rPr>
      </w:pPr>
      <w:r w:rsidRPr="007F3BF7">
        <w:rPr>
          <w:rFonts w:ascii="Times New Roman" w:hAnsi="Times New Roman" w:cs="Times New Roman"/>
          <w:sz w:val="28"/>
        </w:rPr>
        <w:t xml:space="preserve">Supplementary material </w:t>
      </w:r>
      <w:r w:rsidR="000D044E">
        <w:rPr>
          <w:rFonts w:ascii="Times New Roman" w:hAnsi="Times New Roman" w:cs="Times New Roman"/>
          <w:sz w:val="28"/>
        </w:rPr>
        <w:t>5</w:t>
      </w:r>
      <w:r>
        <w:rPr>
          <w:rFonts w:ascii="Times New Roman" w:hAnsi="Times New Roman" w:cs="Times New Roman"/>
          <w:sz w:val="28"/>
        </w:rPr>
        <w:t xml:space="preserve"> Annual relapse rate</w:t>
      </w:r>
    </w:p>
    <w:tbl>
      <w:tblPr>
        <w:tblStyle w:val="afff"/>
        <w:tblW w:w="5132" w:type="dxa"/>
        <w:tblInd w:w="108" w:type="dxa"/>
        <w:tblLook w:val="04A0"/>
      </w:tblPr>
      <w:tblGrid>
        <w:gridCol w:w="1588"/>
        <w:gridCol w:w="1701"/>
        <w:gridCol w:w="1843"/>
      </w:tblGrid>
      <w:tr w:rsidR="00D31780" w:rsidRPr="00F7606D" w:rsidTr="0075275D">
        <w:trPr>
          <w:trHeight w:val="530"/>
          <w:tblHeader/>
        </w:trPr>
        <w:tc>
          <w:tcPr>
            <w:tcW w:w="1588" w:type="dxa"/>
            <w:shd w:val="clear" w:color="auto" w:fill="D9D9D9" w:themeFill="background1" w:themeFillShade="D9"/>
            <w:vAlign w:val="center"/>
          </w:tcPr>
          <w:p w:rsidR="00D31780" w:rsidRPr="00F7606D" w:rsidRDefault="00D31780" w:rsidP="00435B8F">
            <w:pPr>
              <w:pStyle w:val="Tabelltekst"/>
              <w:jc w:val="center"/>
              <w:rPr>
                <w:b/>
                <w:lang w:val="en-GB"/>
              </w:rPr>
            </w:pPr>
            <w:r w:rsidRPr="00F7606D">
              <w:rPr>
                <w:b/>
                <w:lang w:val="en-GB"/>
              </w:rPr>
              <w:t>Year since MS onset</w:t>
            </w:r>
          </w:p>
        </w:tc>
        <w:tc>
          <w:tcPr>
            <w:tcW w:w="1701" w:type="dxa"/>
            <w:shd w:val="clear" w:color="auto" w:fill="D9D9D9" w:themeFill="background1" w:themeFillShade="D9"/>
            <w:vAlign w:val="center"/>
          </w:tcPr>
          <w:p w:rsidR="00D31780" w:rsidRPr="00F7606D" w:rsidRDefault="00D31780" w:rsidP="00435B8F">
            <w:pPr>
              <w:pStyle w:val="Tabelltekst"/>
              <w:jc w:val="center"/>
              <w:rPr>
                <w:b/>
                <w:lang w:val="en-GB"/>
              </w:rPr>
            </w:pPr>
            <w:r w:rsidRPr="00F7606D">
              <w:rPr>
                <w:b/>
                <w:lang w:val="en-GB"/>
              </w:rPr>
              <w:t>Base estimate</w:t>
            </w:r>
          </w:p>
        </w:tc>
        <w:tc>
          <w:tcPr>
            <w:tcW w:w="1843" w:type="dxa"/>
            <w:shd w:val="clear" w:color="auto" w:fill="D9D9D9" w:themeFill="background1" w:themeFillShade="D9"/>
            <w:vAlign w:val="center"/>
          </w:tcPr>
          <w:p w:rsidR="00D31780" w:rsidRPr="00F7606D" w:rsidRDefault="00D31780" w:rsidP="00435B8F">
            <w:pPr>
              <w:pStyle w:val="Tabelltekst"/>
              <w:jc w:val="center"/>
              <w:rPr>
                <w:b/>
                <w:lang w:val="en-GB"/>
              </w:rPr>
            </w:pPr>
            <w:r w:rsidRPr="00F7606D">
              <w:rPr>
                <w:b/>
                <w:lang w:val="en-GB"/>
              </w:rPr>
              <w:t>Standard error</w:t>
            </w:r>
          </w:p>
        </w:tc>
      </w:tr>
      <w:tr w:rsidR="00D31780" w:rsidRPr="005D17C8" w:rsidTr="00435B8F">
        <w:trPr>
          <w:trHeight w:val="562"/>
        </w:trPr>
        <w:tc>
          <w:tcPr>
            <w:tcW w:w="5132" w:type="dxa"/>
            <w:gridSpan w:val="3"/>
            <w:vAlign w:val="center"/>
          </w:tcPr>
          <w:p w:rsidR="00D31780" w:rsidRPr="00F7606D" w:rsidRDefault="00D31780" w:rsidP="00435B8F">
            <w:pPr>
              <w:pStyle w:val="Tabelltekst"/>
              <w:rPr>
                <w:b/>
                <w:lang w:val="en-GB"/>
              </w:rPr>
            </w:pPr>
            <w:r w:rsidRPr="00F7606D">
              <w:rPr>
                <w:b/>
                <w:lang w:val="en-GB"/>
              </w:rPr>
              <w:t>For patients with a EDSS 0 to 2.5</w:t>
            </w:r>
          </w:p>
        </w:tc>
      </w:tr>
      <w:tr w:rsidR="00D31780" w:rsidRPr="00F7606D" w:rsidTr="00435B8F">
        <w:trPr>
          <w:trHeight w:val="525"/>
        </w:trPr>
        <w:tc>
          <w:tcPr>
            <w:tcW w:w="1588" w:type="dxa"/>
            <w:vAlign w:val="center"/>
          </w:tcPr>
          <w:p w:rsidR="00D31780" w:rsidRPr="00F7606D" w:rsidRDefault="00D31780" w:rsidP="00435B8F">
            <w:pPr>
              <w:pStyle w:val="Tabelltekst"/>
              <w:jc w:val="center"/>
              <w:rPr>
                <w:lang w:val="en-GB"/>
              </w:rPr>
            </w:pPr>
            <w:r w:rsidRPr="00F7606D">
              <w:rPr>
                <w:lang w:val="en-GB"/>
              </w:rPr>
              <w:t>5</w:t>
            </w:r>
          </w:p>
        </w:tc>
        <w:tc>
          <w:tcPr>
            <w:tcW w:w="1701" w:type="dxa"/>
            <w:vAlign w:val="center"/>
          </w:tcPr>
          <w:p w:rsidR="00D31780" w:rsidRPr="00F7606D" w:rsidRDefault="00D31780" w:rsidP="00435B8F">
            <w:pPr>
              <w:pStyle w:val="Tabelltekst"/>
              <w:jc w:val="center"/>
              <w:rPr>
                <w:lang w:val="en-GB"/>
              </w:rPr>
            </w:pPr>
            <w:r w:rsidRPr="00F7606D">
              <w:rPr>
                <w:lang w:val="en-GB"/>
              </w:rPr>
              <w:t>0.712</w:t>
            </w:r>
          </w:p>
        </w:tc>
        <w:tc>
          <w:tcPr>
            <w:tcW w:w="1843" w:type="dxa"/>
            <w:vAlign w:val="center"/>
          </w:tcPr>
          <w:p w:rsidR="00D31780" w:rsidRPr="00F7606D" w:rsidRDefault="00D31780" w:rsidP="00435B8F">
            <w:pPr>
              <w:pStyle w:val="Tabelltekst"/>
              <w:jc w:val="center"/>
              <w:rPr>
                <w:lang w:val="en-GB"/>
              </w:rPr>
            </w:pPr>
            <w:r w:rsidRPr="00F7606D">
              <w:rPr>
                <w:lang w:val="en-GB"/>
              </w:rPr>
              <w:t>0.343</w:t>
            </w:r>
          </w:p>
        </w:tc>
      </w:tr>
      <w:tr w:rsidR="00D31780" w:rsidRPr="00F7606D" w:rsidTr="00435B8F">
        <w:trPr>
          <w:trHeight w:val="525"/>
        </w:trPr>
        <w:tc>
          <w:tcPr>
            <w:tcW w:w="1588" w:type="dxa"/>
            <w:vAlign w:val="center"/>
          </w:tcPr>
          <w:p w:rsidR="00D31780" w:rsidRPr="00F7606D" w:rsidRDefault="00D31780" w:rsidP="00435B8F">
            <w:pPr>
              <w:pStyle w:val="Tabelltekst"/>
              <w:jc w:val="center"/>
              <w:rPr>
                <w:lang w:val="en-GB"/>
              </w:rPr>
            </w:pPr>
            <w:r w:rsidRPr="00F7606D">
              <w:rPr>
                <w:lang w:val="en-GB"/>
              </w:rPr>
              <w:t>10</w:t>
            </w:r>
          </w:p>
        </w:tc>
        <w:tc>
          <w:tcPr>
            <w:tcW w:w="1701" w:type="dxa"/>
            <w:vAlign w:val="center"/>
          </w:tcPr>
          <w:p w:rsidR="00D31780" w:rsidRPr="00F7606D" w:rsidRDefault="00D31780" w:rsidP="00435B8F">
            <w:pPr>
              <w:pStyle w:val="Tabelltekst"/>
              <w:jc w:val="center"/>
              <w:rPr>
                <w:lang w:val="en-GB"/>
              </w:rPr>
            </w:pPr>
            <w:r w:rsidRPr="00F7606D">
              <w:rPr>
                <w:lang w:val="en-GB"/>
              </w:rPr>
              <w:t>0.623</w:t>
            </w:r>
          </w:p>
        </w:tc>
        <w:tc>
          <w:tcPr>
            <w:tcW w:w="1843" w:type="dxa"/>
            <w:vAlign w:val="center"/>
          </w:tcPr>
          <w:p w:rsidR="00D31780" w:rsidRPr="00F7606D" w:rsidRDefault="00D31780" w:rsidP="00435B8F">
            <w:pPr>
              <w:pStyle w:val="Tabelltekst"/>
              <w:jc w:val="center"/>
              <w:rPr>
                <w:lang w:val="en-GB"/>
              </w:rPr>
            </w:pPr>
            <w:r w:rsidRPr="00F7606D">
              <w:rPr>
                <w:lang w:val="en-GB"/>
              </w:rPr>
              <w:t>0.335</w:t>
            </w:r>
          </w:p>
        </w:tc>
      </w:tr>
      <w:tr w:rsidR="00D31780" w:rsidRPr="00F7606D" w:rsidTr="00435B8F">
        <w:trPr>
          <w:trHeight w:val="525"/>
        </w:trPr>
        <w:tc>
          <w:tcPr>
            <w:tcW w:w="1588" w:type="dxa"/>
            <w:vAlign w:val="center"/>
          </w:tcPr>
          <w:p w:rsidR="00D31780" w:rsidRPr="00F7606D" w:rsidRDefault="00D31780" w:rsidP="00435B8F">
            <w:pPr>
              <w:pStyle w:val="Tabelltekst"/>
              <w:jc w:val="center"/>
              <w:rPr>
                <w:lang w:val="en-GB"/>
              </w:rPr>
            </w:pPr>
            <w:r w:rsidRPr="00F7606D">
              <w:rPr>
                <w:lang w:val="en-GB"/>
              </w:rPr>
              <w:t>15</w:t>
            </w:r>
          </w:p>
        </w:tc>
        <w:tc>
          <w:tcPr>
            <w:tcW w:w="1701" w:type="dxa"/>
            <w:vAlign w:val="center"/>
          </w:tcPr>
          <w:p w:rsidR="00D31780" w:rsidRPr="00F7606D" w:rsidRDefault="00D31780" w:rsidP="00435B8F">
            <w:pPr>
              <w:pStyle w:val="Tabelltekst"/>
              <w:jc w:val="center"/>
              <w:rPr>
                <w:lang w:val="en-GB"/>
              </w:rPr>
            </w:pPr>
            <w:r w:rsidRPr="00F7606D">
              <w:rPr>
                <w:lang w:val="en-GB"/>
              </w:rPr>
              <w:t>0.571</w:t>
            </w:r>
          </w:p>
        </w:tc>
        <w:tc>
          <w:tcPr>
            <w:tcW w:w="1843" w:type="dxa"/>
            <w:vAlign w:val="center"/>
          </w:tcPr>
          <w:p w:rsidR="00D31780" w:rsidRPr="00F7606D" w:rsidRDefault="00D31780" w:rsidP="00435B8F">
            <w:pPr>
              <w:pStyle w:val="Tabelltekst"/>
              <w:jc w:val="center"/>
              <w:rPr>
                <w:lang w:val="en-GB"/>
              </w:rPr>
            </w:pPr>
            <w:r w:rsidRPr="00F7606D">
              <w:rPr>
                <w:lang w:val="en-GB"/>
              </w:rPr>
              <w:t>0.331</w:t>
            </w:r>
          </w:p>
        </w:tc>
      </w:tr>
      <w:tr w:rsidR="00D31780" w:rsidRPr="00F7606D" w:rsidTr="00435B8F">
        <w:trPr>
          <w:trHeight w:val="525"/>
        </w:trPr>
        <w:tc>
          <w:tcPr>
            <w:tcW w:w="1588" w:type="dxa"/>
            <w:vAlign w:val="center"/>
          </w:tcPr>
          <w:p w:rsidR="00D31780" w:rsidRPr="00F7606D" w:rsidRDefault="00D31780" w:rsidP="00435B8F">
            <w:pPr>
              <w:pStyle w:val="Tabelltekst"/>
              <w:jc w:val="center"/>
              <w:rPr>
                <w:lang w:val="en-GB"/>
              </w:rPr>
            </w:pPr>
            <w:r w:rsidRPr="00F7606D">
              <w:rPr>
                <w:lang w:val="en-GB"/>
              </w:rPr>
              <w:t>20</w:t>
            </w:r>
          </w:p>
        </w:tc>
        <w:tc>
          <w:tcPr>
            <w:tcW w:w="1701" w:type="dxa"/>
            <w:vAlign w:val="center"/>
          </w:tcPr>
          <w:p w:rsidR="00D31780" w:rsidRPr="00F7606D" w:rsidRDefault="00D31780" w:rsidP="00435B8F">
            <w:pPr>
              <w:pStyle w:val="Tabelltekst"/>
              <w:jc w:val="center"/>
              <w:rPr>
                <w:lang w:val="en-GB"/>
              </w:rPr>
            </w:pPr>
            <w:r w:rsidRPr="00F7606D">
              <w:rPr>
                <w:lang w:val="en-GB"/>
              </w:rPr>
              <w:t>0.534</w:t>
            </w:r>
          </w:p>
        </w:tc>
        <w:tc>
          <w:tcPr>
            <w:tcW w:w="1843" w:type="dxa"/>
            <w:vAlign w:val="center"/>
          </w:tcPr>
          <w:p w:rsidR="00D31780" w:rsidRPr="00F7606D" w:rsidRDefault="00D31780" w:rsidP="00435B8F">
            <w:pPr>
              <w:pStyle w:val="Tabelltekst"/>
              <w:jc w:val="center"/>
              <w:rPr>
                <w:lang w:val="en-GB"/>
              </w:rPr>
            </w:pPr>
            <w:r w:rsidRPr="00F7606D">
              <w:rPr>
                <w:lang w:val="en-GB"/>
              </w:rPr>
              <w:t>0.327</w:t>
            </w:r>
          </w:p>
        </w:tc>
      </w:tr>
      <w:tr w:rsidR="00D31780" w:rsidRPr="00F7606D" w:rsidTr="00435B8F">
        <w:trPr>
          <w:trHeight w:val="525"/>
        </w:trPr>
        <w:tc>
          <w:tcPr>
            <w:tcW w:w="1588" w:type="dxa"/>
            <w:vAlign w:val="center"/>
          </w:tcPr>
          <w:p w:rsidR="00D31780" w:rsidRPr="00F7606D" w:rsidRDefault="00D31780" w:rsidP="00435B8F">
            <w:pPr>
              <w:pStyle w:val="Tabelltekst"/>
              <w:jc w:val="center"/>
              <w:rPr>
                <w:lang w:val="en-GB"/>
              </w:rPr>
            </w:pPr>
            <w:r w:rsidRPr="00F7606D">
              <w:rPr>
                <w:lang w:val="en-GB"/>
              </w:rPr>
              <w:t>25</w:t>
            </w:r>
          </w:p>
        </w:tc>
        <w:tc>
          <w:tcPr>
            <w:tcW w:w="1701" w:type="dxa"/>
            <w:vAlign w:val="center"/>
          </w:tcPr>
          <w:p w:rsidR="00D31780" w:rsidRPr="00F7606D" w:rsidRDefault="00D31780" w:rsidP="00435B8F">
            <w:pPr>
              <w:pStyle w:val="Tabelltekst"/>
              <w:jc w:val="center"/>
              <w:rPr>
                <w:lang w:val="en-GB"/>
              </w:rPr>
            </w:pPr>
            <w:r w:rsidRPr="00F7606D">
              <w:rPr>
                <w:lang w:val="en-GB"/>
              </w:rPr>
              <w:t>0.506</w:t>
            </w:r>
          </w:p>
        </w:tc>
        <w:tc>
          <w:tcPr>
            <w:tcW w:w="1843" w:type="dxa"/>
            <w:vAlign w:val="center"/>
          </w:tcPr>
          <w:p w:rsidR="00D31780" w:rsidRPr="00F7606D" w:rsidRDefault="00D31780" w:rsidP="00435B8F">
            <w:pPr>
              <w:pStyle w:val="Tabelltekst"/>
              <w:jc w:val="center"/>
              <w:rPr>
                <w:lang w:val="en-GB"/>
              </w:rPr>
            </w:pPr>
            <w:r w:rsidRPr="00F7606D">
              <w:rPr>
                <w:lang w:val="en-GB"/>
              </w:rPr>
              <w:t>0.325</w:t>
            </w:r>
          </w:p>
        </w:tc>
      </w:tr>
      <w:tr w:rsidR="00D31780" w:rsidRPr="005D17C8" w:rsidTr="00435B8F">
        <w:trPr>
          <w:trHeight w:val="525"/>
        </w:trPr>
        <w:tc>
          <w:tcPr>
            <w:tcW w:w="5132" w:type="dxa"/>
            <w:gridSpan w:val="3"/>
            <w:vAlign w:val="center"/>
          </w:tcPr>
          <w:p w:rsidR="00D31780" w:rsidRPr="00F7606D" w:rsidRDefault="00D31780" w:rsidP="00435B8F">
            <w:pPr>
              <w:pStyle w:val="Tabelltekst"/>
              <w:rPr>
                <w:b/>
                <w:lang w:val="en-GB"/>
              </w:rPr>
            </w:pPr>
            <w:r w:rsidRPr="00F7606D">
              <w:rPr>
                <w:b/>
                <w:lang w:val="en-GB"/>
              </w:rPr>
              <w:t>For patients with a EDSS 3 to 5.5</w:t>
            </w:r>
          </w:p>
        </w:tc>
      </w:tr>
      <w:tr w:rsidR="00D31780" w:rsidRPr="00F7606D" w:rsidTr="00435B8F">
        <w:trPr>
          <w:trHeight w:val="525"/>
        </w:trPr>
        <w:tc>
          <w:tcPr>
            <w:tcW w:w="1588" w:type="dxa"/>
            <w:vAlign w:val="center"/>
          </w:tcPr>
          <w:p w:rsidR="00D31780" w:rsidRPr="00F7606D" w:rsidRDefault="00D31780" w:rsidP="00435B8F">
            <w:pPr>
              <w:pStyle w:val="Tabelltekst"/>
              <w:jc w:val="center"/>
              <w:rPr>
                <w:lang w:val="en-GB"/>
              </w:rPr>
            </w:pPr>
            <w:r w:rsidRPr="00F7606D">
              <w:rPr>
                <w:lang w:val="en-GB"/>
              </w:rPr>
              <w:t>5</w:t>
            </w:r>
          </w:p>
        </w:tc>
        <w:tc>
          <w:tcPr>
            <w:tcW w:w="1701" w:type="dxa"/>
            <w:vAlign w:val="center"/>
          </w:tcPr>
          <w:p w:rsidR="00D31780" w:rsidRPr="00F7606D" w:rsidRDefault="00D31780" w:rsidP="00435B8F">
            <w:pPr>
              <w:pStyle w:val="Tabelltekst"/>
              <w:jc w:val="center"/>
              <w:rPr>
                <w:lang w:val="en-GB"/>
              </w:rPr>
            </w:pPr>
            <w:r w:rsidRPr="00F7606D">
              <w:rPr>
                <w:lang w:val="en-GB"/>
              </w:rPr>
              <w:t>1.255</w:t>
            </w:r>
          </w:p>
        </w:tc>
        <w:tc>
          <w:tcPr>
            <w:tcW w:w="1843" w:type="dxa"/>
            <w:vAlign w:val="center"/>
          </w:tcPr>
          <w:p w:rsidR="00D31780" w:rsidRPr="00F7606D" w:rsidRDefault="00D31780" w:rsidP="00435B8F">
            <w:pPr>
              <w:pStyle w:val="Tabelltekst"/>
              <w:jc w:val="center"/>
              <w:rPr>
                <w:lang w:val="en-GB"/>
              </w:rPr>
            </w:pPr>
            <w:r w:rsidRPr="00F7606D">
              <w:rPr>
                <w:lang w:val="en-GB"/>
              </w:rPr>
              <w:t>0.386</w:t>
            </w:r>
          </w:p>
        </w:tc>
      </w:tr>
      <w:tr w:rsidR="00D31780" w:rsidRPr="00F7606D" w:rsidTr="00435B8F">
        <w:trPr>
          <w:trHeight w:val="525"/>
        </w:trPr>
        <w:tc>
          <w:tcPr>
            <w:tcW w:w="1588" w:type="dxa"/>
            <w:vAlign w:val="center"/>
          </w:tcPr>
          <w:p w:rsidR="00D31780" w:rsidRPr="00F7606D" w:rsidRDefault="00D31780" w:rsidP="00435B8F">
            <w:pPr>
              <w:pStyle w:val="Tabelltekst"/>
              <w:jc w:val="center"/>
              <w:rPr>
                <w:lang w:val="en-GB"/>
              </w:rPr>
            </w:pPr>
            <w:r w:rsidRPr="00F7606D">
              <w:rPr>
                <w:lang w:val="en-GB"/>
              </w:rPr>
              <w:t>10</w:t>
            </w:r>
          </w:p>
        </w:tc>
        <w:tc>
          <w:tcPr>
            <w:tcW w:w="1701" w:type="dxa"/>
            <w:vAlign w:val="center"/>
          </w:tcPr>
          <w:p w:rsidR="00D31780" w:rsidRPr="00F7606D" w:rsidRDefault="00D31780" w:rsidP="00435B8F">
            <w:pPr>
              <w:pStyle w:val="Tabelltekst"/>
              <w:jc w:val="center"/>
              <w:rPr>
                <w:lang w:val="en-GB"/>
              </w:rPr>
            </w:pPr>
            <w:r w:rsidRPr="00F7606D">
              <w:rPr>
                <w:lang w:val="en-GB"/>
              </w:rPr>
              <w:t>1.101</w:t>
            </w:r>
          </w:p>
        </w:tc>
        <w:tc>
          <w:tcPr>
            <w:tcW w:w="1843" w:type="dxa"/>
            <w:vAlign w:val="center"/>
          </w:tcPr>
          <w:p w:rsidR="00D31780" w:rsidRPr="00F7606D" w:rsidRDefault="00D31780" w:rsidP="00435B8F">
            <w:pPr>
              <w:pStyle w:val="Tabelltekst"/>
              <w:jc w:val="center"/>
              <w:rPr>
                <w:lang w:val="en-GB"/>
              </w:rPr>
            </w:pPr>
            <w:r w:rsidRPr="00F7606D">
              <w:rPr>
                <w:lang w:val="en-GB"/>
              </w:rPr>
              <w:t>0.374</w:t>
            </w:r>
          </w:p>
        </w:tc>
      </w:tr>
      <w:tr w:rsidR="00D31780" w:rsidRPr="00F7606D" w:rsidTr="00435B8F">
        <w:trPr>
          <w:trHeight w:val="525"/>
        </w:trPr>
        <w:tc>
          <w:tcPr>
            <w:tcW w:w="1588" w:type="dxa"/>
            <w:vAlign w:val="center"/>
          </w:tcPr>
          <w:p w:rsidR="00D31780" w:rsidRPr="00F7606D" w:rsidRDefault="00D31780" w:rsidP="00435B8F">
            <w:pPr>
              <w:pStyle w:val="Tabelltekst"/>
              <w:jc w:val="center"/>
              <w:rPr>
                <w:lang w:val="en-GB"/>
              </w:rPr>
            </w:pPr>
            <w:r w:rsidRPr="00F7606D">
              <w:rPr>
                <w:lang w:val="en-GB"/>
              </w:rPr>
              <w:t>15</w:t>
            </w:r>
          </w:p>
        </w:tc>
        <w:tc>
          <w:tcPr>
            <w:tcW w:w="1701" w:type="dxa"/>
            <w:vAlign w:val="center"/>
          </w:tcPr>
          <w:p w:rsidR="00D31780" w:rsidRPr="00F7606D" w:rsidRDefault="00D31780" w:rsidP="00435B8F">
            <w:pPr>
              <w:pStyle w:val="Tabelltekst"/>
              <w:jc w:val="center"/>
              <w:rPr>
                <w:lang w:val="en-GB"/>
              </w:rPr>
            </w:pPr>
            <w:r w:rsidRPr="00F7606D">
              <w:rPr>
                <w:lang w:val="en-GB"/>
              </w:rPr>
              <w:t>1.011</w:t>
            </w:r>
          </w:p>
        </w:tc>
        <w:tc>
          <w:tcPr>
            <w:tcW w:w="1843" w:type="dxa"/>
            <w:vAlign w:val="center"/>
          </w:tcPr>
          <w:p w:rsidR="00D31780" w:rsidRPr="00F7606D" w:rsidRDefault="00D31780" w:rsidP="00435B8F">
            <w:pPr>
              <w:pStyle w:val="Tabelltekst"/>
              <w:jc w:val="center"/>
              <w:rPr>
                <w:lang w:val="en-GB"/>
              </w:rPr>
            </w:pPr>
            <w:r w:rsidRPr="00F7606D">
              <w:rPr>
                <w:lang w:val="en-GB"/>
              </w:rPr>
              <w:t>0.367</w:t>
            </w:r>
          </w:p>
        </w:tc>
      </w:tr>
      <w:tr w:rsidR="00D31780" w:rsidRPr="00F7606D" w:rsidTr="00435B8F">
        <w:trPr>
          <w:trHeight w:val="525"/>
        </w:trPr>
        <w:tc>
          <w:tcPr>
            <w:tcW w:w="1588" w:type="dxa"/>
            <w:vAlign w:val="center"/>
          </w:tcPr>
          <w:p w:rsidR="00D31780" w:rsidRPr="00F7606D" w:rsidRDefault="00D31780" w:rsidP="00435B8F">
            <w:pPr>
              <w:pStyle w:val="Tabelltekst"/>
              <w:jc w:val="center"/>
              <w:rPr>
                <w:lang w:val="en-GB"/>
              </w:rPr>
            </w:pPr>
            <w:r w:rsidRPr="00F7606D">
              <w:rPr>
                <w:lang w:val="en-GB"/>
              </w:rPr>
              <w:t>20</w:t>
            </w:r>
          </w:p>
        </w:tc>
        <w:tc>
          <w:tcPr>
            <w:tcW w:w="1701" w:type="dxa"/>
            <w:vAlign w:val="center"/>
          </w:tcPr>
          <w:p w:rsidR="00D31780" w:rsidRPr="00F7606D" w:rsidRDefault="00D31780" w:rsidP="00435B8F">
            <w:pPr>
              <w:pStyle w:val="Tabelltekst"/>
              <w:jc w:val="center"/>
              <w:rPr>
                <w:lang w:val="en-GB"/>
              </w:rPr>
            </w:pPr>
            <w:r w:rsidRPr="00F7606D">
              <w:rPr>
                <w:lang w:val="en-GB"/>
              </w:rPr>
              <w:t>0.947</w:t>
            </w:r>
          </w:p>
        </w:tc>
        <w:tc>
          <w:tcPr>
            <w:tcW w:w="1843" w:type="dxa"/>
            <w:vAlign w:val="center"/>
          </w:tcPr>
          <w:p w:rsidR="00D31780" w:rsidRPr="00F7606D" w:rsidRDefault="00D31780" w:rsidP="00435B8F">
            <w:pPr>
              <w:pStyle w:val="Tabelltekst"/>
              <w:jc w:val="center"/>
              <w:rPr>
                <w:lang w:val="en-GB"/>
              </w:rPr>
            </w:pPr>
            <w:r w:rsidRPr="00F7606D">
              <w:rPr>
                <w:lang w:val="en-GB"/>
              </w:rPr>
              <w:t>0.362</w:t>
            </w:r>
          </w:p>
        </w:tc>
      </w:tr>
      <w:tr w:rsidR="00D31780" w:rsidRPr="00F7606D" w:rsidTr="00435B8F">
        <w:trPr>
          <w:trHeight w:val="525"/>
        </w:trPr>
        <w:tc>
          <w:tcPr>
            <w:tcW w:w="1588" w:type="dxa"/>
            <w:vAlign w:val="center"/>
          </w:tcPr>
          <w:p w:rsidR="00D31780" w:rsidRPr="00F7606D" w:rsidRDefault="00D31780" w:rsidP="00435B8F">
            <w:pPr>
              <w:pStyle w:val="Tabelltekst"/>
              <w:jc w:val="center"/>
              <w:rPr>
                <w:lang w:val="en-GB"/>
              </w:rPr>
            </w:pPr>
            <w:r w:rsidRPr="00F7606D">
              <w:rPr>
                <w:lang w:val="en-GB"/>
              </w:rPr>
              <w:t>25</w:t>
            </w:r>
          </w:p>
        </w:tc>
        <w:tc>
          <w:tcPr>
            <w:tcW w:w="1701" w:type="dxa"/>
            <w:vAlign w:val="center"/>
          </w:tcPr>
          <w:p w:rsidR="00D31780" w:rsidRPr="00F7606D" w:rsidRDefault="00D31780" w:rsidP="00435B8F">
            <w:pPr>
              <w:pStyle w:val="Tabelltekst"/>
              <w:jc w:val="center"/>
              <w:rPr>
                <w:lang w:val="en-GB"/>
              </w:rPr>
            </w:pPr>
            <w:r w:rsidRPr="00F7606D">
              <w:rPr>
                <w:lang w:val="en-GB"/>
              </w:rPr>
              <w:t>0.897</w:t>
            </w:r>
          </w:p>
        </w:tc>
        <w:tc>
          <w:tcPr>
            <w:tcW w:w="1843" w:type="dxa"/>
            <w:vAlign w:val="center"/>
          </w:tcPr>
          <w:p w:rsidR="00D31780" w:rsidRPr="00F7606D" w:rsidRDefault="00D31780" w:rsidP="00435B8F">
            <w:pPr>
              <w:pStyle w:val="Tabelltekst"/>
              <w:jc w:val="center"/>
              <w:rPr>
                <w:lang w:val="en-GB"/>
              </w:rPr>
            </w:pPr>
            <w:r w:rsidRPr="00F7606D">
              <w:rPr>
                <w:lang w:val="en-GB"/>
              </w:rPr>
              <w:t>0.358</w:t>
            </w:r>
          </w:p>
        </w:tc>
      </w:tr>
    </w:tbl>
    <w:p w:rsidR="00D31780" w:rsidRPr="00D31780" w:rsidRDefault="00D31780" w:rsidP="00D31780">
      <w:pPr>
        <w:pStyle w:val="NormalBilledplassering"/>
        <w:rPr>
          <w:noProof w:val="0"/>
          <w:sz w:val="20"/>
          <w:szCs w:val="20"/>
          <w:lang w:val="en-GB"/>
        </w:rPr>
      </w:pPr>
      <w:r w:rsidRPr="00D31780">
        <w:rPr>
          <w:noProof w:val="0"/>
          <w:sz w:val="20"/>
          <w:szCs w:val="20"/>
          <w:lang w:val="en-GB"/>
        </w:rPr>
        <w:t xml:space="preserve">  EDSS: Expanded Disability Status Scale</w:t>
      </w:r>
    </w:p>
    <w:p w:rsidR="000D044E" w:rsidRDefault="00D31780" w:rsidP="007B226E">
      <w:pPr>
        <w:pStyle w:val="NormalBilledplassering"/>
        <w:rPr>
          <w:sz w:val="20"/>
          <w:szCs w:val="20"/>
          <w:lang w:val="en-GB"/>
        </w:rPr>
      </w:pPr>
      <w:r w:rsidRPr="00D31780">
        <w:rPr>
          <w:sz w:val="20"/>
          <w:szCs w:val="20"/>
          <w:lang w:val="en-GB"/>
        </w:rPr>
        <w:t xml:space="preserve">  Source: Tran K</w:t>
      </w:r>
      <w:r w:rsidR="001E0F19">
        <w:rPr>
          <w:sz w:val="20"/>
          <w:szCs w:val="20"/>
          <w:lang w:val="en-GB"/>
        </w:rPr>
        <w:t>. et al.</w:t>
      </w:r>
      <w:r w:rsidRPr="00D31780">
        <w:rPr>
          <w:sz w:val="20"/>
          <w:szCs w:val="20"/>
          <w:lang w:val="en-GB"/>
        </w:rPr>
        <w:t xml:space="preserve">. Comparative clinical and cost effectiveness of drug therapies for relapsing-remitting multiple sclerosis. </w:t>
      </w:r>
      <w:r w:rsidRPr="00B95EA6">
        <w:rPr>
          <w:sz w:val="20"/>
          <w:szCs w:val="20"/>
          <w:lang w:val="en-GB"/>
        </w:rPr>
        <w:t>PROSPERO/ CADTH, 2013.</w:t>
      </w:r>
    </w:p>
    <w:p w:rsidR="004B5285" w:rsidRPr="007F3BF7" w:rsidRDefault="004B5285" w:rsidP="004B5285">
      <w:pPr>
        <w:pStyle w:val="20"/>
        <w:numPr>
          <w:ilvl w:val="0"/>
          <w:numId w:val="0"/>
        </w:numPr>
        <w:jc w:val="both"/>
        <w:rPr>
          <w:rFonts w:ascii="Times New Roman" w:hAnsi="Times New Roman" w:cs="Times New Roman"/>
          <w:sz w:val="28"/>
        </w:rPr>
      </w:pPr>
      <w:r w:rsidRPr="007F3BF7">
        <w:rPr>
          <w:rFonts w:ascii="Times New Roman" w:hAnsi="Times New Roman" w:cs="Times New Roman"/>
          <w:sz w:val="28"/>
        </w:rPr>
        <w:t xml:space="preserve">Supplementary material </w:t>
      </w:r>
      <w:r w:rsidR="000D044E">
        <w:rPr>
          <w:rFonts w:ascii="Times New Roman" w:hAnsi="Times New Roman" w:cs="Times New Roman"/>
          <w:sz w:val="28"/>
        </w:rPr>
        <w:t>6</w:t>
      </w:r>
      <w:r w:rsidR="00B95EA6">
        <w:rPr>
          <w:rFonts w:ascii="Times New Roman" w:hAnsi="Times New Roman" w:cs="Times New Roman"/>
          <w:sz w:val="28"/>
        </w:rPr>
        <w:t xml:space="preserve"> </w:t>
      </w:r>
      <w:r>
        <w:rPr>
          <w:rFonts w:ascii="Times New Roman" w:hAnsi="Times New Roman" w:cs="Times New Roman"/>
          <w:sz w:val="28"/>
        </w:rPr>
        <w:t>Calculation of costs</w:t>
      </w:r>
    </w:p>
    <w:p w:rsidR="004B5285" w:rsidRPr="00F7606D" w:rsidRDefault="004B5285" w:rsidP="004B5285">
      <w:pPr>
        <w:pStyle w:val="Figuretext"/>
        <w:rPr>
          <w:szCs w:val="20"/>
        </w:rPr>
      </w:pPr>
      <w:r w:rsidRPr="00F7606D">
        <w:rPr>
          <w:b/>
          <w:szCs w:val="20"/>
        </w:rPr>
        <w:t xml:space="preserve">Table </w:t>
      </w:r>
      <w:r w:rsidR="000D044E">
        <w:rPr>
          <w:b/>
          <w:szCs w:val="20"/>
        </w:rPr>
        <w:t>6</w:t>
      </w:r>
      <w:r w:rsidR="00D31780">
        <w:rPr>
          <w:b/>
          <w:szCs w:val="20"/>
        </w:rPr>
        <w:t>.</w:t>
      </w:r>
      <w:r>
        <w:rPr>
          <w:b/>
          <w:szCs w:val="20"/>
        </w:rPr>
        <w:t>1</w:t>
      </w:r>
      <w:r w:rsidRPr="00F7606D">
        <w:rPr>
          <w:b/>
          <w:szCs w:val="20"/>
        </w:rPr>
        <w:t>.</w:t>
      </w:r>
      <w:r w:rsidRPr="00F7606D">
        <w:rPr>
          <w:szCs w:val="20"/>
        </w:rPr>
        <w:t xml:space="preserve"> Drug costs per patient inclusive VAT</w:t>
      </w:r>
    </w:p>
    <w:tbl>
      <w:tblPr>
        <w:tblStyle w:val="afff"/>
        <w:tblW w:w="9918" w:type="dxa"/>
        <w:tblLayout w:type="fixed"/>
        <w:tblLook w:val="04A0"/>
      </w:tblPr>
      <w:tblGrid>
        <w:gridCol w:w="1838"/>
        <w:gridCol w:w="2410"/>
        <w:gridCol w:w="1559"/>
        <w:gridCol w:w="1276"/>
        <w:gridCol w:w="1417"/>
        <w:gridCol w:w="1418"/>
      </w:tblGrid>
      <w:tr w:rsidR="004B5285" w:rsidRPr="00F7606D" w:rsidTr="0075275D">
        <w:trPr>
          <w:trHeight w:val="1020"/>
        </w:trPr>
        <w:tc>
          <w:tcPr>
            <w:tcW w:w="1838" w:type="dxa"/>
            <w:shd w:val="clear" w:color="auto" w:fill="D9D9D9" w:themeFill="background1" w:themeFillShade="D9"/>
            <w:vAlign w:val="center"/>
            <w:hideMark/>
          </w:tcPr>
          <w:p w:rsidR="004B5285" w:rsidRPr="00F7606D" w:rsidRDefault="004B5285" w:rsidP="00DA73DE">
            <w:pPr>
              <w:rPr>
                <w:rFonts w:ascii="Arial Narrow" w:hAnsi="Arial Narrow"/>
                <w:b/>
                <w:lang w:val="en-GB"/>
              </w:rPr>
            </w:pPr>
            <w:r w:rsidRPr="00F7606D">
              <w:rPr>
                <w:rFonts w:ascii="Arial Narrow" w:hAnsi="Arial Narrow"/>
                <w:b/>
                <w:lang w:val="en-GB"/>
              </w:rPr>
              <w:t>Drug</w:t>
            </w:r>
          </w:p>
        </w:tc>
        <w:tc>
          <w:tcPr>
            <w:tcW w:w="2410" w:type="dxa"/>
            <w:shd w:val="clear" w:color="auto" w:fill="D9D9D9" w:themeFill="background1" w:themeFillShade="D9"/>
            <w:vAlign w:val="center"/>
          </w:tcPr>
          <w:p w:rsidR="004B5285" w:rsidRPr="00F7606D" w:rsidRDefault="004B5285" w:rsidP="00435B8F">
            <w:pPr>
              <w:jc w:val="center"/>
              <w:rPr>
                <w:rFonts w:ascii="Arial Narrow" w:hAnsi="Arial Narrow"/>
                <w:b/>
                <w:lang w:val="en-GB"/>
              </w:rPr>
            </w:pPr>
            <w:r w:rsidRPr="00F7606D">
              <w:rPr>
                <w:rFonts w:ascii="Arial Narrow" w:hAnsi="Arial Narrow"/>
                <w:b/>
                <w:lang w:val="en-GB"/>
              </w:rPr>
              <w:t xml:space="preserve">Dosage and recommended treatment regimen </w:t>
            </w:r>
            <w:r w:rsidRPr="00F7606D">
              <w:rPr>
                <w:rFonts w:ascii="Arial Narrow" w:hAnsi="Arial Narrow"/>
                <w:b/>
                <w:vertAlign w:val="superscript"/>
                <w:lang w:val="en-GB"/>
              </w:rPr>
              <w:t>a</w:t>
            </w:r>
          </w:p>
        </w:tc>
        <w:tc>
          <w:tcPr>
            <w:tcW w:w="1559" w:type="dxa"/>
            <w:shd w:val="clear" w:color="auto" w:fill="D9D9D9" w:themeFill="background1" w:themeFillShade="D9"/>
            <w:vAlign w:val="center"/>
          </w:tcPr>
          <w:p w:rsidR="004B5285" w:rsidRPr="00F7606D" w:rsidRDefault="004B5285" w:rsidP="00435B8F">
            <w:pPr>
              <w:jc w:val="center"/>
              <w:rPr>
                <w:rFonts w:ascii="Arial Narrow" w:hAnsi="Arial Narrow"/>
                <w:b/>
                <w:lang w:val="en-GB"/>
              </w:rPr>
            </w:pPr>
            <w:r w:rsidRPr="00F7606D">
              <w:rPr>
                <w:rFonts w:ascii="Arial Narrow" w:hAnsi="Arial Narrow"/>
                <w:b/>
                <w:lang w:val="en-GB"/>
              </w:rPr>
              <w:t xml:space="preserve">Dosage form </w:t>
            </w:r>
            <w:r w:rsidRPr="00F7606D">
              <w:rPr>
                <w:rFonts w:ascii="Arial Narrow" w:hAnsi="Arial Narrow"/>
                <w:b/>
                <w:vertAlign w:val="superscript"/>
                <w:lang w:val="en-GB"/>
              </w:rPr>
              <w:t>a</w:t>
            </w:r>
          </w:p>
        </w:tc>
        <w:tc>
          <w:tcPr>
            <w:tcW w:w="1276" w:type="dxa"/>
            <w:shd w:val="clear" w:color="auto" w:fill="D9D9D9" w:themeFill="background1" w:themeFillShade="D9"/>
            <w:vAlign w:val="center"/>
          </w:tcPr>
          <w:p w:rsidR="004B5285" w:rsidRPr="00F7606D" w:rsidRDefault="004B5285" w:rsidP="00435B8F">
            <w:pPr>
              <w:jc w:val="center"/>
              <w:rPr>
                <w:rFonts w:ascii="Arial Narrow" w:hAnsi="Arial Narrow"/>
                <w:b/>
                <w:lang w:val="en-GB"/>
              </w:rPr>
            </w:pPr>
            <w:r w:rsidRPr="00F7606D">
              <w:rPr>
                <w:rFonts w:ascii="Arial Narrow" w:hAnsi="Arial Narrow"/>
                <w:b/>
                <w:lang w:val="en-GB"/>
              </w:rPr>
              <w:t xml:space="preserve">LIS price (NOK) </w:t>
            </w:r>
            <w:r w:rsidRPr="00F7606D">
              <w:rPr>
                <w:rFonts w:ascii="Arial Narrow" w:hAnsi="Arial Narrow"/>
                <w:b/>
                <w:vertAlign w:val="superscript"/>
                <w:lang w:val="en-GB"/>
              </w:rPr>
              <w:t>a</w:t>
            </w:r>
          </w:p>
        </w:tc>
        <w:tc>
          <w:tcPr>
            <w:tcW w:w="1417" w:type="dxa"/>
            <w:shd w:val="clear" w:color="auto" w:fill="D9D9D9" w:themeFill="background1" w:themeFillShade="D9"/>
            <w:vAlign w:val="center"/>
          </w:tcPr>
          <w:p w:rsidR="004B5285" w:rsidRPr="00F7606D" w:rsidRDefault="004B5285" w:rsidP="00435B8F">
            <w:pPr>
              <w:jc w:val="center"/>
              <w:rPr>
                <w:rFonts w:ascii="Arial Narrow" w:hAnsi="Arial Narrow"/>
                <w:b/>
                <w:lang w:val="en-GB"/>
              </w:rPr>
            </w:pPr>
            <w:r w:rsidRPr="00F7606D">
              <w:rPr>
                <w:rFonts w:ascii="Arial Narrow" w:hAnsi="Arial Narrow"/>
                <w:b/>
                <w:lang w:val="en-GB"/>
              </w:rPr>
              <w:t>Pills/</w:t>
            </w:r>
          </w:p>
          <w:p w:rsidR="004B5285" w:rsidRPr="00F7606D" w:rsidRDefault="004B5285" w:rsidP="00435B8F">
            <w:pPr>
              <w:jc w:val="center"/>
              <w:rPr>
                <w:rFonts w:ascii="Arial Narrow" w:hAnsi="Arial Narrow"/>
                <w:b/>
                <w:lang w:val="en-GB"/>
              </w:rPr>
            </w:pPr>
            <w:r w:rsidRPr="00F7606D">
              <w:rPr>
                <w:rFonts w:ascii="Arial Narrow" w:hAnsi="Arial Narrow"/>
                <w:b/>
                <w:lang w:val="en-GB"/>
              </w:rPr>
              <w:t xml:space="preserve">syringes per </w:t>
            </w:r>
          </w:p>
          <w:p w:rsidR="004B5285" w:rsidRPr="00F7606D" w:rsidRDefault="004B5285" w:rsidP="00435B8F">
            <w:pPr>
              <w:jc w:val="center"/>
              <w:rPr>
                <w:rFonts w:ascii="Arial Narrow" w:hAnsi="Arial Narrow"/>
                <w:b/>
                <w:lang w:val="en-GB"/>
              </w:rPr>
            </w:pPr>
            <w:r w:rsidRPr="00F7606D">
              <w:rPr>
                <w:rFonts w:ascii="Arial Narrow" w:hAnsi="Arial Narrow"/>
                <w:b/>
                <w:lang w:val="en-GB"/>
              </w:rPr>
              <w:t xml:space="preserve">package </w:t>
            </w:r>
            <w:r w:rsidRPr="00F7606D">
              <w:rPr>
                <w:rFonts w:ascii="Arial Narrow" w:hAnsi="Arial Narrow"/>
                <w:b/>
                <w:vertAlign w:val="superscript"/>
                <w:lang w:val="en-GB"/>
              </w:rPr>
              <w:t>a</w:t>
            </w:r>
          </w:p>
        </w:tc>
        <w:tc>
          <w:tcPr>
            <w:tcW w:w="1418" w:type="dxa"/>
            <w:shd w:val="clear" w:color="auto" w:fill="D9D9D9" w:themeFill="background1" w:themeFillShade="D9"/>
            <w:vAlign w:val="center"/>
          </w:tcPr>
          <w:p w:rsidR="004B5285" w:rsidRPr="00F7606D" w:rsidRDefault="004B5285" w:rsidP="00435B8F">
            <w:pPr>
              <w:jc w:val="center"/>
              <w:rPr>
                <w:rFonts w:ascii="Arial Narrow" w:hAnsi="Arial Narrow"/>
                <w:b/>
                <w:lang w:val="en-GB"/>
              </w:rPr>
            </w:pPr>
            <w:r w:rsidRPr="00F7606D">
              <w:rPr>
                <w:rFonts w:ascii="Arial Narrow" w:hAnsi="Arial Narrow"/>
                <w:b/>
                <w:lang w:val="en-GB"/>
              </w:rPr>
              <w:t>Annual drug cost (NOK)</w:t>
            </w:r>
          </w:p>
        </w:tc>
      </w:tr>
      <w:tr w:rsidR="004B5285" w:rsidRPr="00685670" w:rsidTr="00DA73DE">
        <w:trPr>
          <w:trHeight w:val="1121"/>
        </w:trPr>
        <w:tc>
          <w:tcPr>
            <w:tcW w:w="1838" w:type="dxa"/>
            <w:noWrap/>
            <w:vAlign w:val="center"/>
          </w:tcPr>
          <w:p w:rsidR="004B5285" w:rsidRPr="006A170B" w:rsidRDefault="004B5285" w:rsidP="00435B8F">
            <w:pPr>
              <w:pStyle w:val="Tabelltekst"/>
              <w:rPr>
                <w:szCs w:val="20"/>
                <w:lang w:val="en-GB"/>
              </w:rPr>
            </w:pPr>
            <w:r w:rsidRPr="006A170B">
              <w:rPr>
                <w:szCs w:val="20"/>
                <w:lang w:val="en-GB"/>
              </w:rPr>
              <w:t>Alemtuzumab (Lemtrada)</w:t>
            </w:r>
          </w:p>
        </w:tc>
        <w:tc>
          <w:tcPr>
            <w:tcW w:w="2410"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12 mg/1.2 ml per day for 5 days, 12 mg/1.2 ml per day for 3 days after one year (IV)</w:t>
            </w:r>
          </w:p>
        </w:tc>
        <w:tc>
          <w:tcPr>
            <w:tcW w:w="1559"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Vial</w:t>
            </w:r>
          </w:p>
        </w:tc>
        <w:tc>
          <w:tcPr>
            <w:tcW w:w="1276"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63,757.09</w:t>
            </w:r>
          </w:p>
        </w:tc>
        <w:tc>
          <w:tcPr>
            <w:tcW w:w="1417"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1</w:t>
            </w:r>
          </w:p>
        </w:tc>
        <w:tc>
          <w:tcPr>
            <w:tcW w:w="1418"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318,785 (5 days first year), 191,271 (3 days second year)</w:t>
            </w:r>
            <w:r w:rsidRPr="00F7606D">
              <w:rPr>
                <w:vertAlign w:val="superscript"/>
                <w:lang w:val="en-GB"/>
              </w:rPr>
              <w:t xml:space="preserve"> b</w:t>
            </w:r>
          </w:p>
        </w:tc>
      </w:tr>
      <w:tr w:rsidR="004B5285" w:rsidRPr="00F7606D" w:rsidTr="00435B8F">
        <w:trPr>
          <w:trHeight w:val="1135"/>
        </w:trPr>
        <w:tc>
          <w:tcPr>
            <w:tcW w:w="1838" w:type="dxa"/>
            <w:noWrap/>
            <w:vAlign w:val="center"/>
          </w:tcPr>
          <w:p w:rsidR="004B5285" w:rsidRPr="006A170B" w:rsidRDefault="004B5285" w:rsidP="00435B8F">
            <w:pPr>
              <w:pStyle w:val="Tabelltekst"/>
              <w:rPr>
                <w:szCs w:val="20"/>
                <w:lang w:val="en-GB"/>
              </w:rPr>
            </w:pPr>
            <w:r w:rsidRPr="006A170B">
              <w:rPr>
                <w:szCs w:val="20"/>
                <w:lang w:val="en-GB"/>
              </w:rPr>
              <w:t>Dimethyl fumarate (Tecifidera)</w:t>
            </w:r>
          </w:p>
        </w:tc>
        <w:tc>
          <w:tcPr>
            <w:tcW w:w="2410" w:type="dxa"/>
            <w:vAlign w:val="center"/>
          </w:tcPr>
          <w:p w:rsidR="004B5285" w:rsidRPr="00AA0C1E" w:rsidRDefault="004B5285" w:rsidP="00435B8F">
            <w:pPr>
              <w:jc w:val="center"/>
              <w:rPr>
                <w:rFonts w:ascii="Arial Narrow" w:hAnsi="Arial Narrow"/>
              </w:rPr>
            </w:pPr>
            <w:r w:rsidRPr="00AA0C1E">
              <w:rPr>
                <w:rFonts w:ascii="Arial Narrow" w:hAnsi="Arial Narrow"/>
              </w:rPr>
              <w:t>120 mgx2 for 7 days,</w:t>
            </w:r>
          </w:p>
          <w:p w:rsidR="004B5285" w:rsidRPr="00AA0C1E" w:rsidRDefault="004B5285" w:rsidP="00435B8F">
            <w:pPr>
              <w:jc w:val="center"/>
              <w:rPr>
                <w:rFonts w:ascii="Arial Narrow" w:hAnsi="Arial Narrow"/>
              </w:rPr>
            </w:pPr>
          </w:p>
          <w:p w:rsidR="004B5285" w:rsidRPr="00AA0C1E" w:rsidRDefault="004B5285" w:rsidP="00435B8F">
            <w:pPr>
              <w:jc w:val="center"/>
              <w:rPr>
                <w:rFonts w:ascii="Arial Narrow" w:hAnsi="Arial Narrow"/>
              </w:rPr>
            </w:pPr>
            <w:r w:rsidRPr="00AA0C1E">
              <w:rPr>
                <w:rFonts w:ascii="Arial Narrow" w:hAnsi="Arial Narrow"/>
              </w:rPr>
              <w:t xml:space="preserve"> 240mg x2 /dag</w:t>
            </w:r>
          </w:p>
        </w:tc>
        <w:tc>
          <w:tcPr>
            <w:tcW w:w="1559"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Capsule</w:t>
            </w:r>
          </w:p>
        </w:tc>
        <w:tc>
          <w:tcPr>
            <w:tcW w:w="1276"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3,256.12 (start package)</w:t>
            </w:r>
          </w:p>
          <w:p w:rsidR="004B5285" w:rsidRPr="00F7606D" w:rsidRDefault="004B5285" w:rsidP="00435B8F">
            <w:pPr>
              <w:jc w:val="center"/>
              <w:rPr>
                <w:rFonts w:ascii="Arial Narrow" w:hAnsi="Arial Narrow"/>
                <w:lang w:val="en-GB"/>
              </w:rPr>
            </w:pPr>
            <w:r w:rsidRPr="00F7606D">
              <w:rPr>
                <w:rFonts w:ascii="Arial Narrow" w:hAnsi="Arial Narrow"/>
                <w:lang w:val="en-GB"/>
              </w:rPr>
              <w:t>12,936.70</w:t>
            </w:r>
          </w:p>
        </w:tc>
        <w:tc>
          <w:tcPr>
            <w:tcW w:w="1417"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14</w:t>
            </w:r>
          </w:p>
          <w:p w:rsidR="004B5285" w:rsidRPr="00F7606D" w:rsidRDefault="004B5285" w:rsidP="00435B8F">
            <w:pPr>
              <w:jc w:val="center"/>
              <w:rPr>
                <w:rFonts w:ascii="Arial Narrow" w:hAnsi="Arial Narrow"/>
                <w:lang w:val="en-GB"/>
              </w:rPr>
            </w:pPr>
          </w:p>
          <w:p w:rsidR="004B5285" w:rsidRPr="00F7606D" w:rsidRDefault="004B5285" w:rsidP="00435B8F">
            <w:pPr>
              <w:jc w:val="center"/>
              <w:rPr>
                <w:rFonts w:ascii="Arial Narrow" w:hAnsi="Arial Narrow"/>
                <w:lang w:val="en-GB"/>
              </w:rPr>
            </w:pPr>
            <w:r w:rsidRPr="00F7606D">
              <w:rPr>
                <w:rFonts w:ascii="Arial Narrow" w:hAnsi="Arial Narrow"/>
                <w:lang w:val="en-GB"/>
              </w:rPr>
              <w:t>56</w:t>
            </w:r>
          </w:p>
        </w:tc>
        <w:tc>
          <w:tcPr>
            <w:tcW w:w="1418"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168,670</w:t>
            </w:r>
          </w:p>
        </w:tc>
      </w:tr>
      <w:tr w:rsidR="004B5285" w:rsidRPr="00F7606D" w:rsidTr="00DA73DE">
        <w:trPr>
          <w:trHeight w:val="757"/>
        </w:trPr>
        <w:tc>
          <w:tcPr>
            <w:tcW w:w="1838" w:type="dxa"/>
            <w:noWrap/>
            <w:vAlign w:val="center"/>
          </w:tcPr>
          <w:p w:rsidR="004B5285" w:rsidRPr="006A170B" w:rsidRDefault="004B5285" w:rsidP="00435B8F">
            <w:pPr>
              <w:pStyle w:val="Tabelltekst"/>
              <w:rPr>
                <w:szCs w:val="20"/>
                <w:lang w:val="en-GB"/>
              </w:rPr>
            </w:pPr>
            <w:r w:rsidRPr="006A170B">
              <w:rPr>
                <w:szCs w:val="20"/>
                <w:lang w:val="en-GB"/>
              </w:rPr>
              <w:t>Fingolimod  (Gilenya)</w:t>
            </w:r>
          </w:p>
        </w:tc>
        <w:tc>
          <w:tcPr>
            <w:tcW w:w="2410"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0.5 mg/day</w:t>
            </w:r>
          </w:p>
        </w:tc>
        <w:tc>
          <w:tcPr>
            <w:tcW w:w="1559"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Capsule</w:t>
            </w:r>
          </w:p>
        </w:tc>
        <w:tc>
          <w:tcPr>
            <w:tcW w:w="1276"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15,125.39</w:t>
            </w:r>
          </w:p>
        </w:tc>
        <w:tc>
          <w:tcPr>
            <w:tcW w:w="1417"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28</w:t>
            </w:r>
          </w:p>
        </w:tc>
        <w:tc>
          <w:tcPr>
            <w:tcW w:w="1418"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197,170</w:t>
            </w:r>
          </w:p>
        </w:tc>
      </w:tr>
      <w:tr w:rsidR="004B5285" w:rsidRPr="00F7606D" w:rsidTr="00435B8F">
        <w:trPr>
          <w:trHeight w:val="852"/>
        </w:trPr>
        <w:tc>
          <w:tcPr>
            <w:tcW w:w="1838" w:type="dxa"/>
            <w:noWrap/>
            <w:vAlign w:val="center"/>
          </w:tcPr>
          <w:p w:rsidR="004B5285" w:rsidRPr="006A170B" w:rsidRDefault="004B5285" w:rsidP="00435B8F">
            <w:pPr>
              <w:pStyle w:val="Tabelltekst"/>
              <w:rPr>
                <w:szCs w:val="20"/>
                <w:lang w:val="en-GB"/>
              </w:rPr>
            </w:pPr>
            <w:r w:rsidRPr="006A170B">
              <w:rPr>
                <w:szCs w:val="20"/>
                <w:lang w:val="en-GB"/>
              </w:rPr>
              <w:t xml:space="preserve">Glatiramer acetate (Copaxone) </w:t>
            </w:r>
            <w:r w:rsidRPr="006A170B">
              <w:rPr>
                <w:szCs w:val="20"/>
                <w:vertAlign w:val="superscript"/>
                <w:lang w:val="en-GB"/>
              </w:rPr>
              <w:t>c</w:t>
            </w:r>
          </w:p>
        </w:tc>
        <w:tc>
          <w:tcPr>
            <w:tcW w:w="2410"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20mg/mL</w:t>
            </w:r>
          </w:p>
          <w:p w:rsidR="004B5285" w:rsidRPr="00F7606D" w:rsidRDefault="004B5285" w:rsidP="00435B8F">
            <w:pPr>
              <w:jc w:val="center"/>
              <w:rPr>
                <w:rFonts w:ascii="Arial Narrow" w:hAnsi="Arial Narrow"/>
                <w:lang w:val="en-GB"/>
              </w:rPr>
            </w:pPr>
            <w:r w:rsidRPr="00F7606D">
              <w:rPr>
                <w:rFonts w:ascii="Arial Narrow" w:hAnsi="Arial Narrow"/>
                <w:lang w:val="en-GB"/>
              </w:rPr>
              <w:t>I syringe/day (SC)</w:t>
            </w:r>
          </w:p>
        </w:tc>
        <w:tc>
          <w:tcPr>
            <w:tcW w:w="1559"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Pre-filled</w:t>
            </w:r>
          </w:p>
          <w:p w:rsidR="004B5285" w:rsidRPr="00F7606D" w:rsidRDefault="004B5285" w:rsidP="00435B8F">
            <w:pPr>
              <w:jc w:val="center"/>
              <w:rPr>
                <w:rFonts w:ascii="Arial Narrow" w:hAnsi="Arial Narrow"/>
                <w:lang w:val="en-GB"/>
              </w:rPr>
            </w:pPr>
            <w:r w:rsidRPr="00F7606D">
              <w:rPr>
                <w:rFonts w:ascii="Arial Narrow" w:hAnsi="Arial Narrow"/>
                <w:lang w:val="en-GB"/>
              </w:rPr>
              <w:t>Syringe</w:t>
            </w:r>
          </w:p>
        </w:tc>
        <w:tc>
          <w:tcPr>
            <w:tcW w:w="1276"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6,702.38</w:t>
            </w:r>
          </w:p>
        </w:tc>
        <w:tc>
          <w:tcPr>
            <w:tcW w:w="1417"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28</w:t>
            </w:r>
          </w:p>
        </w:tc>
        <w:tc>
          <w:tcPr>
            <w:tcW w:w="1418"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87,370</w:t>
            </w:r>
          </w:p>
        </w:tc>
      </w:tr>
      <w:tr w:rsidR="004B5285" w:rsidRPr="00F7606D" w:rsidTr="003C3E0B">
        <w:trPr>
          <w:trHeight w:val="694"/>
        </w:trPr>
        <w:tc>
          <w:tcPr>
            <w:tcW w:w="1838" w:type="dxa"/>
            <w:noWrap/>
            <w:vAlign w:val="center"/>
          </w:tcPr>
          <w:p w:rsidR="004B5285" w:rsidRPr="006A170B" w:rsidRDefault="004B5285" w:rsidP="00435B8F">
            <w:pPr>
              <w:pStyle w:val="Tabelltekst"/>
              <w:rPr>
                <w:szCs w:val="20"/>
                <w:lang w:val="en-GB"/>
              </w:rPr>
            </w:pPr>
            <w:r w:rsidRPr="006A170B">
              <w:rPr>
                <w:szCs w:val="20"/>
                <w:lang w:val="en-GB"/>
              </w:rPr>
              <w:t>Interferon beta-1a (Avonex)</w:t>
            </w:r>
          </w:p>
        </w:tc>
        <w:tc>
          <w:tcPr>
            <w:tcW w:w="2410"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30 mcg/0.5 ml</w:t>
            </w:r>
          </w:p>
          <w:p w:rsidR="004B5285" w:rsidRPr="00F7606D" w:rsidRDefault="004B5285" w:rsidP="00435B8F">
            <w:pPr>
              <w:jc w:val="center"/>
              <w:rPr>
                <w:rFonts w:ascii="Arial Narrow" w:hAnsi="Arial Narrow"/>
                <w:lang w:val="en-GB"/>
              </w:rPr>
            </w:pPr>
            <w:r w:rsidRPr="00F7606D">
              <w:rPr>
                <w:rFonts w:ascii="Arial Narrow" w:hAnsi="Arial Narrow"/>
                <w:lang w:val="en-GB"/>
              </w:rPr>
              <w:t>Once per week (IM)</w:t>
            </w:r>
          </w:p>
        </w:tc>
        <w:tc>
          <w:tcPr>
            <w:tcW w:w="1559"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Pre-filled</w:t>
            </w:r>
          </w:p>
          <w:p w:rsidR="004B5285" w:rsidRPr="00F7606D" w:rsidRDefault="004B5285" w:rsidP="00435B8F">
            <w:pPr>
              <w:jc w:val="center"/>
              <w:rPr>
                <w:rFonts w:ascii="Arial Narrow" w:hAnsi="Arial Narrow"/>
                <w:lang w:val="en-GB"/>
              </w:rPr>
            </w:pPr>
            <w:r w:rsidRPr="00F7606D">
              <w:rPr>
                <w:rFonts w:ascii="Arial Narrow" w:hAnsi="Arial Narrow"/>
                <w:lang w:val="en-GB"/>
              </w:rPr>
              <w:t>Syringe</w:t>
            </w:r>
          </w:p>
        </w:tc>
        <w:tc>
          <w:tcPr>
            <w:tcW w:w="1276"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8,021.97</w:t>
            </w:r>
          </w:p>
        </w:tc>
        <w:tc>
          <w:tcPr>
            <w:tcW w:w="1417"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4</w:t>
            </w:r>
          </w:p>
        </w:tc>
        <w:tc>
          <w:tcPr>
            <w:tcW w:w="1418"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104,286</w:t>
            </w:r>
          </w:p>
        </w:tc>
      </w:tr>
      <w:tr w:rsidR="004B5285" w:rsidRPr="00F7606D" w:rsidTr="00435B8F">
        <w:trPr>
          <w:trHeight w:val="717"/>
        </w:trPr>
        <w:tc>
          <w:tcPr>
            <w:tcW w:w="1838" w:type="dxa"/>
            <w:noWrap/>
            <w:vAlign w:val="center"/>
          </w:tcPr>
          <w:p w:rsidR="004B5285" w:rsidRPr="006A170B" w:rsidRDefault="004B5285" w:rsidP="00435B8F">
            <w:pPr>
              <w:pStyle w:val="Tabelltekst"/>
              <w:rPr>
                <w:szCs w:val="20"/>
                <w:lang w:val="en-GB"/>
              </w:rPr>
            </w:pPr>
            <w:r w:rsidRPr="006A170B">
              <w:rPr>
                <w:szCs w:val="20"/>
                <w:lang w:val="en-GB"/>
              </w:rPr>
              <w:t>Interferon beta-1a (Rebif)</w:t>
            </w:r>
          </w:p>
        </w:tc>
        <w:tc>
          <w:tcPr>
            <w:tcW w:w="2410"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22 mcg/0.5 ml</w:t>
            </w:r>
          </w:p>
          <w:p w:rsidR="004B5285" w:rsidRPr="00F7606D" w:rsidRDefault="004B5285" w:rsidP="00435B8F">
            <w:pPr>
              <w:jc w:val="center"/>
              <w:rPr>
                <w:rFonts w:ascii="Arial Narrow" w:hAnsi="Arial Narrow"/>
                <w:lang w:val="en-GB"/>
              </w:rPr>
            </w:pPr>
            <w:r w:rsidRPr="00F7606D">
              <w:rPr>
                <w:rFonts w:ascii="Arial Narrow" w:hAnsi="Arial Narrow"/>
                <w:lang w:val="en-GB"/>
              </w:rPr>
              <w:t>3 times per week (IM)</w:t>
            </w:r>
          </w:p>
        </w:tc>
        <w:tc>
          <w:tcPr>
            <w:tcW w:w="1559"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Pre-filled syringe or auto</w:t>
            </w:r>
            <w:r w:rsidR="00DA73DE">
              <w:rPr>
                <w:rFonts w:ascii="Arial Narrow" w:hAnsi="Arial Narrow"/>
                <w:lang w:val="en-GB"/>
              </w:rPr>
              <w:t>-</w:t>
            </w:r>
            <w:r w:rsidRPr="00F7606D">
              <w:rPr>
                <w:rFonts w:ascii="Arial Narrow" w:hAnsi="Arial Narrow"/>
                <w:lang w:val="en-GB"/>
              </w:rPr>
              <w:t>injector</w:t>
            </w:r>
          </w:p>
        </w:tc>
        <w:tc>
          <w:tcPr>
            <w:tcW w:w="1276"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7,027.32</w:t>
            </w:r>
          </w:p>
        </w:tc>
        <w:tc>
          <w:tcPr>
            <w:tcW w:w="1417"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12</w:t>
            </w:r>
          </w:p>
        </w:tc>
        <w:tc>
          <w:tcPr>
            <w:tcW w:w="1418"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91,355</w:t>
            </w:r>
          </w:p>
        </w:tc>
      </w:tr>
      <w:tr w:rsidR="004B5285" w:rsidRPr="00F7606D" w:rsidTr="00DA73DE">
        <w:trPr>
          <w:trHeight w:val="653"/>
        </w:trPr>
        <w:tc>
          <w:tcPr>
            <w:tcW w:w="1838" w:type="dxa"/>
            <w:noWrap/>
            <w:vAlign w:val="center"/>
          </w:tcPr>
          <w:p w:rsidR="004B5285" w:rsidRPr="006A170B" w:rsidRDefault="004B5285" w:rsidP="00DA73DE">
            <w:pPr>
              <w:pStyle w:val="Tabelltekst"/>
              <w:rPr>
                <w:szCs w:val="20"/>
                <w:lang w:val="en-GB"/>
              </w:rPr>
            </w:pPr>
            <w:r w:rsidRPr="006A170B">
              <w:rPr>
                <w:szCs w:val="20"/>
                <w:lang w:val="en-GB"/>
              </w:rPr>
              <w:t>Interferon beta-1a (Rebif)</w:t>
            </w:r>
          </w:p>
          <w:p w:rsidR="004B5285" w:rsidRPr="006A170B" w:rsidRDefault="004B5285" w:rsidP="00DA73DE">
            <w:pPr>
              <w:pStyle w:val="Tabelltekst"/>
              <w:rPr>
                <w:szCs w:val="20"/>
                <w:lang w:val="en-GB"/>
              </w:rPr>
            </w:pPr>
          </w:p>
        </w:tc>
        <w:tc>
          <w:tcPr>
            <w:tcW w:w="2410"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44 mcg/0.5 ml</w:t>
            </w:r>
          </w:p>
          <w:p w:rsidR="004B5285" w:rsidRPr="00F7606D" w:rsidRDefault="004B5285" w:rsidP="00435B8F">
            <w:pPr>
              <w:jc w:val="center"/>
              <w:rPr>
                <w:rFonts w:ascii="Arial Narrow" w:hAnsi="Arial Narrow"/>
                <w:lang w:val="en-GB"/>
              </w:rPr>
            </w:pPr>
            <w:r w:rsidRPr="00F7606D">
              <w:rPr>
                <w:rFonts w:ascii="Arial Narrow" w:hAnsi="Arial Narrow"/>
                <w:lang w:val="en-GB"/>
              </w:rPr>
              <w:t>3 times per week (IM)</w:t>
            </w:r>
          </w:p>
        </w:tc>
        <w:tc>
          <w:tcPr>
            <w:tcW w:w="1559"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Pre-filled syringe or auto</w:t>
            </w:r>
            <w:r w:rsidR="00DA73DE">
              <w:rPr>
                <w:rFonts w:ascii="Arial Narrow" w:hAnsi="Arial Narrow"/>
                <w:lang w:val="en-GB"/>
              </w:rPr>
              <w:t>-</w:t>
            </w:r>
            <w:r w:rsidRPr="00F7606D">
              <w:rPr>
                <w:rFonts w:ascii="Arial Narrow" w:hAnsi="Arial Narrow"/>
                <w:lang w:val="en-GB"/>
              </w:rPr>
              <w:t>injector</w:t>
            </w:r>
          </w:p>
        </w:tc>
        <w:tc>
          <w:tcPr>
            <w:tcW w:w="1276" w:type="dxa"/>
            <w:vAlign w:val="center"/>
          </w:tcPr>
          <w:p w:rsidR="004B5285" w:rsidRPr="00F7606D" w:rsidRDefault="004B5285" w:rsidP="00DA73DE">
            <w:pPr>
              <w:jc w:val="center"/>
              <w:rPr>
                <w:rFonts w:ascii="Arial Narrow" w:hAnsi="Arial Narrow"/>
                <w:lang w:val="en-GB"/>
              </w:rPr>
            </w:pPr>
            <w:r w:rsidRPr="00F7606D">
              <w:rPr>
                <w:rFonts w:ascii="Arial Narrow" w:hAnsi="Arial Narrow"/>
                <w:lang w:val="en-GB"/>
              </w:rPr>
              <w:t>8,904.26</w:t>
            </w:r>
            <w:r w:rsidR="00DA73DE">
              <w:rPr>
                <w:rFonts w:ascii="Arial Narrow" w:hAnsi="Arial Narrow"/>
                <w:lang w:val="en-GB"/>
              </w:rPr>
              <w:t xml:space="preserve"> </w:t>
            </w:r>
            <w:r w:rsidR="00DA73DE" w:rsidRPr="00DA73DE">
              <w:rPr>
                <w:rFonts w:ascii="Arial Narrow" w:hAnsi="Arial Narrow"/>
                <w:vertAlign w:val="superscript"/>
                <w:lang w:val="en-GB"/>
              </w:rPr>
              <w:t>d</w:t>
            </w:r>
          </w:p>
        </w:tc>
        <w:tc>
          <w:tcPr>
            <w:tcW w:w="1417"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12</w:t>
            </w:r>
          </w:p>
        </w:tc>
        <w:tc>
          <w:tcPr>
            <w:tcW w:w="1418"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115,755</w:t>
            </w:r>
          </w:p>
        </w:tc>
      </w:tr>
      <w:tr w:rsidR="004B5285" w:rsidRPr="00F7606D" w:rsidTr="00435B8F">
        <w:trPr>
          <w:trHeight w:val="653"/>
        </w:trPr>
        <w:tc>
          <w:tcPr>
            <w:tcW w:w="1838" w:type="dxa"/>
            <w:noWrap/>
            <w:vAlign w:val="center"/>
          </w:tcPr>
          <w:p w:rsidR="004B5285" w:rsidRPr="006A170B" w:rsidRDefault="004B5285" w:rsidP="00435B8F">
            <w:pPr>
              <w:pStyle w:val="Tabelltekst"/>
              <w:rPr>
                <w:szCs w:val="20"/>
                <w:lang w:val="en-GB"/>
              </w:rPr>
            </w:pPr>
            <w:r w:rsidRPr="006A170B">
              <w:rPr>
                <w:szCs w:val="20"/>
                <w:lang w:val="en-GB"/>
              </w:rPr>
              <w:t>Interferon beta-1b (Betaferon)</w:t>
            </w:r>
          </w:p>
        </w:tc>
        <w:tc>
          <w:tcPr>
            <w:tcW w:w="2410"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250 mcg /mL every other day (SC)</w:t>
            </w:r>
          </w:p>
        </w:tc>
        <w:tc>
          <w:tcPr>
            <w:tcW w:w="1559"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Powder for injection</w:t>
            </w:r>
          </w:p>
        </w:tc>
        <w:tc>
          <w:tcPr>
            <w:tcW w:w="1276"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4,937.05 (start package)</w:t>
            </w:r>
          </w:p>
          <w:p w:rsidR="004B5285" w:rsidRPr="00F7606D" w:rsidRDefault="004B5285" w:rsidP="00435B8F">
            <w:pPr>
              <w:jc w:val="center"/>
              <w:rPr>
                <w:rFonts w:ascii="Arial Narrow" w:hAnsi="Arial Narrow"/>
                <w:lang w:val="en-GB"/>
              </w:rPr>
            </w:pPr>
            <w:r w:rsidRPr="00F7606D">
              <w:rPr>
                <w:rFonts w:ascii="Arial Narrow" w:hAnsi="Arial Narrow"/>
                <w:lang w:val="en-GB"/>
              </w:rPr>
              <w:t>5,513.18</w:t>
            </w:r>
          </w:p>
        </w:tc>
        <w:tc>
          <w:tcPr>
            <w:tcW w:w="1417"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1</w:t>
            </w:r>
          </w:p>
          <w:p w:rsidR="004B5285" w:rsidRPr="00F7606D" w:rsidRDefault="004B5285" w:rsidP="00435B8F">
            <w:pPr>
              <w:jc w:val="center"/>
              <w:rPr>
                <w:rFonts w:ascii="Arial Narrow" w:hAnsi="Arial Narrow"/>
                <w:lang w:val="en-GB"/>
              </w:rPr>
            </w:pPr>
          </w:p>
          <w:p w:rsidR="004B5285" w:rsidRPr="00F7606D" w:rsidRDefault="004B5285" w:rsidP="00435B8F">
            <w:pPr>
              <w:jc w:val="center"/>
              <w:rPr>
                <w:rFonts w:ascii="Arial Narrow" w:hAnsi="Arial Narrow"/>
                <w:lang w:val="en-GB"/>
              </w:rPr>
            </w:pPr>
            <w:r w:rsidRPr="00F7606D">
              <w:rPr>
                <w:rFonts w:ascii="Arial Narrow" w:hAnsi="Arial Narrow"/>
                <w:lang w:val="en-GB"/>
              </w:rPr>
              <w:t>15</w:t>
            </w:r>
          </w:p>
        </w:tc>
        <w:tc>
          <w:tcPr>
            <w:tcW w:w="1418"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66,318</w:t>
            </w:r>
          </w:p>
        </w:tc>
      </w:tr>
      <w:tr w:rsidR="004B5285" w:rsidRPr="00F7606D" w:rsidTr="00435B8F">
        <w:trPr>
          <w:trHeight w:val="653"/>
        </w:trPr>
        <w:tc>
          <w:tcPr>
            <w:tcW w:w="1838" w:type="dxa"/>
            <w:noWrap/>
            <w:vAlign w:val="center"/>
          </w:tcPr>
          <w:p w:rsidR="004B5285" w:rsidRPr="006A170B" w:rsidRDefault="004B5285" w:rsidP="00435B8F">
            <w:pPr>
              <w:pStyle w:val="Tabelltekst"/>
              <w:rPr>
                <w:szCs w:val="20"/>
                <w:lang w:val="en-GB"/>
              </w:rPr>
            </w:pPr>
            <w:r w:rsidRPr="006A170B">
              <w:rPr>
                <w:szCs w:val="20"/>
                <w:lang w:val="en-GB"/>
              </w:rPr>
              <w:t>Interferon beta-1b (Extavia)</w:t>
            </w:r>
          </w:p>
        </w:tc>
        <w:tc>
          <w:tcPr>
            <w:tcW w:w="2410"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250 mcg /mL every other day (SC)</w:t>
            </w:r>
          </w:p>
        </w:tc>
        <w:tc>
          <w:tcPr>
            <w:tcW w:w="1559"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Powder for injection</w:t>
            </w:r>
          </w:p>
        </w:tc>
        <w:tc>
          <w:tcPr>
            <w:tcW w:w="1276"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4,950.14</w:t>
            </w:r>
          </w:p>
        </w:tc>
        <w:tc>
          <w:tcPr>
            <w:tcW w:w="1417"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15</w:t>
            </w:r>
          </w:p>
        </w:tc>
        <w:tc>
          <w:tcPr>
            <w:tcW w:w="1418"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60,062</w:t>
            </w:r>
          </w:p>
        </w:tc>
      </w:tr>
      <w:tr w:rsidR="004B5285" w:rsidRPr="00F7606D" w:rsidTr="00435B8F">
        <w:trPr>
          <w:trHeight w:val="295"/>
        </w:trPr>
        <w:tc>
          <w:tcPr>
            <w:tcW w:w="1838" w:type="dxa"/>
            <w:noWrap/>
            <w:vAlign w:val="center"/>
          </w:tcPr>
          <w:p w:rsidR="004B5285" w:rsidRPr="006A170B" w:rsidRDefault="004B5285" w:rsidP="00435B8F">
            <w:pPr>
              <w:pStyle w:val="Tabelltekst"/>
              <w:rPr>
                <w:szCs w:val="20"/>
                <w:lang w:val="en-GB"/>
              </w:rPr>
            </w:pPr>
            <w:r w:rsidRPr="006A170B">
              <w:rPr>
                <w:szCs w:val="20"/>
                <w:lang w:val="en-GB"/>
              </w:rPr>
              <w:t>Natalizumab (Tysabri)</w:t>
            </w:r>
          </w:p>
        </w:tc>
        <w:tc>
          <w:tcPr>
            <w:tcW w:w="2410"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300 mg/15 mL</w:t>
            </w:r>
          </w:p>
          <w:p w:rsidR="004B5285" w:rsidRPr="00F7606D" w:rsidRDefault="004B5285" w:rsidP="00435B8F">
            <w:pPr>
              <w:jc w:val="center"/>
              <w:rPr>
                <w:rFonts w:ascii="Arial Narrow" w:hAnsi="Arial Narrow"/>
                <w:lang w:val="en-GB"/>
              </w:rPr>
            </w:pPr>
            <w:r w:rsidRPr="00F7606D">
              <w:rPr>
                <w:rFonts w:ascii="Arial Narrow" w:hAnsi="Arial Narrow"/>
                <w:lang w:val="en-GB"/>
              </w:rPr>
              <w:t>Every four weeks (IV)</w:t>
            </w:r>
          </w:p>
        </w:tc>
        <w:tc>
          <w:tcPr>
            <w:tcW w:w="1559"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Vial</w:t>
            </w:r>
          </w:p>
        </w:tc>
        <w:tc>
          <w:tcPr>
            <w:tcW w:w="1276"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14,757.51</w:t>
            </w:r>
          </w:p>
        </w:tc>
        <w:tc>
          <w:tcPr>
            <w:tcW w:w="1417"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1</w:t>
            </w:r>
          </w:p>
        </w:tc>
        <w:tc>
          <w:tcPr>
            <w:tcW w:w="1418"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191,848</w:t>
            </w:r>
          </w:p>
        </w:tc>
      </w:tr>
      <w:tr w:rsidR="004B5285" w:rsidRPr="00F7606D" w:rsidTr="00435B8F">
        <w:trPr>
          <w:trHeight w:val="653"/>
        </w:trPr>
        <w:tc>
          <w:tcPr>
            <w:tcW w:w="1838" w:type="dxa"/>
            <w:noWrap/>
            <w:vAlign w:val="center"/>
          </w:tcPr>
          <w:p w:rsidR="004B5285" w:rsidRPr="006A170B" w:rsidRDefault="004B5285" w:rsidP="00435B8F">
            <w:pPr>
              <w:pStyle w:val="Tabelltekst"/>
              <w:rPr>
                <w:szCs w:val="20"/>
                <w:lang w:val="en-GB"/>
              </w:rPr>
            </w:pPr>
            <w:r w:rsidRPr="006A170B">
              <w:rPr>
                <w:szCs w:val="20"/>
                <w:lang w:val="en-GB"/>
              </w:rPr>
              <w:t xml:space="preserve">Peg-interferon </w:t>
            </w:r>
          </w:p>
          <w:p w:rsidR="004B5285" w:rsidRPr="006A170B" w:rsidRDefault="004B5285" w:rsidP="00435B8F">
            <w:pPr>
              <w:pStyle w:val="Tabelltekst"/>
              <w:rPr>
                <w:szCs w:val="20"/>
                <w:lang w:val="en-GB"/>
              </w:rPr>
            </w:pPr>
            <w:r w:rsidRPr="006A170B">
              <w:rPr>
                <w:szCs w:val="20"/>
                <w:lang w:val="en-GB"/>
              </w:rPr>
              <w:t>beta-1a (Plegridy)</w:t>
            </w:r>
          </w:p>
        </w:tc>
        <w:tc>
          <w:tcPr>
            <w:tcW w:w="2410"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63 mcg/0.5 ml (</w:t>
            </w:r>
            <w:r>
              <w:rPr>
                <w:rFonts w:ascii="Arial Narrow" w:hAnsi="Arial Narrow"/>
                <w:lang w:val="en-GB"/>
              </w:rPr>
              <w:t xml:space="preserve">first </w:t>
            </w:r>
            <w:r w:rsidRPr="00F7606D">
              <w:rPr>
                <w:rFonts w:ascii="Arial Narrow" w:hAnsi="Arial Narrow"/>
                <w:lang w:val="en-GB"/>
              </w:rPr>
              <w:t>dose), 94 mcg/0.5 ml (second dose),</w:t>
            </w:r>
          </w:p>
          <w:p w:rsidR="004B5285" w:rsidRPr="00F7606D" w:rsidRDefault="004B5285" w:rsidP="00435B8F">
            <w:pPr>
              <w:jc w:val="center"/>
              <w:rPr>
                <w:rFonts w:ascii="Arial Narrow" w:hAnsi="Arial Narrow"/>
                <w:lang w:val="en-GB"/>
              </w:rPr>
            </w:pPr>
            <w:r w:rsidRPr="00F7606D">
              <w:rPr>
                <w:rFonts w:ascii="Arial Narrow" w:hAnsi="Arial Narrow"/>
                <w:lang w:val="en-GB"/>
              </w:rPr>
              <w:t>125 mcg/0.5 ml every 14 days (SC)</w:t>
            </w:r>
          </w:p>
        </w:tc>
        <w:tc>
          <w:tcPr>
            <w:tcW w:w="1559"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Prefilled syringe</w:t>
            </w:r>
          </w:p>
        </w:tc>
        <w:tc>
          <w:tcPr>
            <w:tcW w:w="1276"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8,820.69 (start package)</w:t>
            </w:r>
          </w:p>
          <w:p w:rsidR="004B5285" w:rsidRPr="00F7606D" w:rsidRDefault="004B5285" w:rsidP="00435B8F">
            <w:pPr>
              <w:jc w:val="center"/>
              <w:rPr>
                <w:rFonts w:ascii="Arial Narrow" w:hAnsi="Arial Narrow"/>
                <w:lang w:val="en-GB"/>
              </w:rPr>
            </w:pPr>
            <w:r w:rsidRPr="00F7606D">
              <w:rPr>
                <w:rFonts w:ascii="Arial Narrow" w:hAnsi="Arial Narrow"/>
                <w:lang w:val="en-GB"/>
              </w:rPr>
              <w:t>8,820.69</w:t>
            </w:r>
          </w:p>
          <w:p w:rsidR="004B5285" w:rsidRPr="00F7606D" w:rsidRDefault="004B5285" w:rsidP="00435B8F">
            <w:pPr>
              <w:jc w:val="center"/>
              <w:rPr>
                <w:rFonts w:ascii="Arial Narrow" w:hAnsi="Arial Narrow"/>
                <w:lang w:val="en-GB"/>
              </w:rPr>
            </w:pPr>
          </w:p>
        </w:tc>
        <w:tc>
          <w:tcPr>
            <w:tcW w:w="1417"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1 (63 mcg) and 1 (94 mcg)</w:t>
            </w:r>
          </w:p>
          <w:p w:rsidR="004B5285" w:rsidRPr="00F7606D" w:rsidRDefault="004B5285" w:rsidP="00435B8F">
            <w:pPr>
              <w:spacing w:line="240" w:lineRule="auto"/>
              <w:jc w:val="center"/>
              <w:rPr>
                <w:rFonts w:ascii="Arial Narrow" w:hAnsi="Arial Narrow"/>
                <w:lang w:val="en-GB"/>
              </w:rPr>
            </w:pPr>
          </w:p>
          <w:p w:rsidR="004B5285" w:rsidRPr="00F7606D" w:rsidRDefault="004B5285" w:rsidP="00435B8F">
            <w:pPr>
              <w:jc w:val="center"/>
              <w:rPr>
                <w:rFonts w:ascii="Arial Narrow" w:hAnsi="Arial Narrow"/>
                <w:lang w:val="en-GB"/>
              </w:rPr>
            </w:pPr>
            <w:r w:rsidRPr="00F7606D">
              <w:rPr>
                <w:rFonts w:ascii="Arial Narrow" w:hAnsi="Arial Narrow"/>
                <w:lang w:val="en-GB"/>
              </w:rPr>
              <w:t>2</w:t>
            </w:r>
          </w:p>
        </w:tc>
        <w:tc>
          <w:tcPr>
            <w:tcW w:w="1418"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114,669</w:t>
            </w:r>
          </w:p>
        </w:tc>
      </w:tr>
      <w:tr w:rsidR="004B5285" w:rsidRPr="00F7606D" w:rsidTr="00435B8F">
        <w:trPr>
          <w:trHeight w:val="653"/>
        </w:trPr>
        <w:tc>
          <w:tcPr>
            <w:tcW w:w="1838" w:type="dxa"/>
            <w:noWrap/>
            <w:vAlign w:val="center"/>
          </w:tcPr>
          <w:p w:rsidR="004B5285" w:rsidRPr="006A170B" w:rsidRDefault="004B5285" w:rsidP="00435B8F">
            <w:pPr>
              <w:pStyle w:val="Tabelltekst"/>
              <w:rPr>
                <w:szCs w:val="20"/>
                <w:lang w:val="en-GB"/>
              </w:rPr>
            </w:pPr>
            <w:r w:rsidRPr="006A170B">
              <w:rPr>
                <w:szCs w:val="20"/>
                <w:lang w:val="en-GB"/>
              </w:rPr>
              <w:t>Teriflunomide (Aubagio)</w:t>
            </w:r>
          </w:p>
        </w:tc>
        <w:tc>
          <w:tcPr>
            <w:tcW w:w="2410"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14 mg/day</w:t>
            </w:r>
          </w:p>
        </w:tc>
        <w:tc>
          <w:tcPr>
            <w:tcW w:w="1559"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Tablet</w:t>
            </w:r>
          </w:p>
        </w:tc>
        <w:tc>
          <w:tcPr>
            <w:tcW w:w="1276"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24,249.21</w:t>
            </w:r>
          </w:p>
        </w:tc>
        <w:tc>
          <w:tcPr>
            <w:tcW w:w="1417"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84</w:t>
            </w:r>
          </w:p>
        </w:tc>
        <w:tc>
          <w:tcPr>
            <w:tcW w:w="1418" w:type="dxa"/>
            <w:vAlign w:val="center"/>
          </w:tcPr>
          <w:p w:rsidR="004B5285" w:rsidRPr="00F7606D" w:rsidRDefault="004B5285" w:rsidP="00435B8F">
            <w:pPr>
              <w:jc w:val="center"/>
              <w:rPr>
                <w:rFonts w:ascii="Arial Narrow" w:hAnsi="Arial Narrow"/>
                <w:lang w:val="en-GB"/>
              </w:rPr>
            </w:pPr>
            <w:r w:rsidRPr="00F7606D">
              <w:rPr>
                <w:rFonts w:ascii="Arial Narrow" w:hAnsi="Arial Narrow"/>
                <w:lang w:val="en-GB"/>
              </w:rPr>
              <w:t>105,369</w:t>
            </w:r>
          </w:p>
        </w:tc>
      </w:tr>
    </w:tbl>
    <w:p w:rsidR="004B5285" w:rsidRPr="00F7606D" w:rsidRDefault="004B5285" w:rsidP="004B5285">
      <w:pPr>
        <w:pStyle w:val="boksbodytekst"/>
        <w:rPr>
          <w:rFonts w:asciiTheme="minorHAnsi" w:hAnsiTheme="minorHAnsi"/>
          <w:sz w:val="20"/>
          <w:szCs w:val="20"/>
          <w:lang w:val="en-GB"/>
        </w:rPr>
      </w:pPr>
      <w:r w:rsidRPr="00F7606D">
        <w:rPr>
          <w:rFonts w:asciiTheme="minorHAnsi" w:hAnsiTheme="minorHAnsi"/>
          <w:sz w:val="20"/>
          <w:szCs w:val="20"/>
          <w:lang w:val="en-GB"/>
        </w:rPr>
        <w:t>IM: intramuscular; IV: intravenous; mcg: microgram; mg: milligram; SC: subcutaneous</w:t>
      </w:r>
    </w:p>
    <w:p w:rsidR="004A331F" w:rsidRPr="004B5285" w:rsidRDefault="004B5285" w:rsidP="004B5285">
      <w:pPr>
        <w:pStyle w:val="boksbodytekst"/>
        <w:rPr>
          <w:rFonts w:ascii="Times New Roman" w:hAnsi="Times New Roman"/>
          <w:sz w:val="28"/>
          <w:lang w:val="en-GB"/>
        </w:rPr>
      </w:pPr>
      <w:r w:rsidRPr="00F7606D">
        <w:rPr>
          <w:rFonts w:asciiTheme="minorHAnsi" w:hAnsiTheme="minorHAnsi"/>
          <w:sz w:val="20"/>
          <w:szCs w:val="20"/>
          <w:vertAlign w:val="superscript"/>
          <w:lang w:val="en-GB"/>
        </w:rPr>
        <w:t>a</w:t>
      </w:r>
      <w:r w:rsidRPr="00F7606D">
        <w:rPr>
          <w:rFonts w:asciiTheme="minorHAnsi" w:hAnsiTheme="minorHAnsi"/>
          <w:sz w:val="20"/>
          <w:szCs w:val="20"/>
          <w:lang w:val="en-GB"/>
        </w:rPr>
        <w:t xml:space="preserve"> Source: Drug procurement cooperation (LIS) 2015</w:t>
      </w:r>
      <w:r>
        <w:rPr>
          <w:rFonts w:asciiTheme="minorHAnsi" w:hAnsiTheme="minorHAnsi"/>
          <w:sz w:val="20"/>
          <w:szCs w:val="20"/>
          <w:lang w:val="en-GB"/>
        </w:rPr>
        <w:t xml:space="preserve">. </w:t>
      </w:r>
      <w:r w:rsidRPr="00F7606D">
        <w:rPr>
          <w:rFonts w:asciiTheme="minorHAnsi" w:hAnsiTheme="minorHAnsi"/>
          <w:sz w:val="20"/>
          <w:szCs w:val="20"/>
          <w:vertAlign w:val="superscript"/>
          <w:lang w:val="en-GB"/>
        </w:rPr>
        <w:t xml:space="preserve">b </w:t>
      </w:r>
      <w:r w:rsidRPr="00F7606D">
        <w:rPr>
          <w:rFonts w:asciiTheme="minorHAnsi" w:hAnsiTheme="minorHAnsi"/>
          <w:sz w:val="20"/>
          <w:szCs w:val="20"/>
          <w:lang w:val="en-GB"/>
        </w:rPr>
        <w:t xml:space="preserve">The majority of patients receiving Alemtuzumab would </w:t>
      </w:r>
      <w:r>
        <w:rPr>
          <w:rFonts w:asciiTheme="minorHAnsi" w:hAnsiTheme="minorHAnsi"/>
          <w:sz w:val="20"/>
          <w:szCs w:val="20"/>
          <w:lang w:val="en-GB"/>
        </w:rPr>
        <w:t xml:space="preserve">not need new treatment after 5 </w:t>
      </w:r>
      <w:r w:rsidRPr="00F7606D">
        <w:rPr>
          <w:rFonts w:asciiTheme="minorHAnsi" w:hAnsiTheme="minorHAnsi"/>
          <w:sz w:val="20"/>
          <w:szCs w:val="20"/>
          <w:lang w:val="en-GB"/>
        </w:rPr>
        <w:t xml:space="preserve">year treatment. It was assumed that 20% of patients need extra treatment (12 mg/day for 3 days) </w:t>
      </w:r>
      <w:r w:rsidR="00204467" w:rsidRPr="00F7606D">
        <w:rPr>
          <w:rFonts w:asciiTheme="minorHAnsi" w:hAnsiTheme="minorHAnsi"/>
          <w:sz w:val="20"/>
          <w:szCs w:val="20"/>
          <w:lang w:val="en-GB"/>
        </w:rPr>
        <w:fldChar w:fldCharType="begin"/>
      </w:r>
      <w:r w:rsidRPr="00F7606D">
        <w:rPr>
          <w:rFonts w:asciiTheme="minorHAnsi" w:hAnsiTheme="minorHAnsi"/>
          <w:sz w:val="20"/>
          <w:szCs w:val="20"/>
          <w:lang w:val="en-GB"/>
        </w:rPr>
        <w:instrText xml:space="preserve"> ADDIN EN.CITE &lt;EndNote&gt;&lt;Cite&gt;&lt;Author&gt;Havrdova&lt;/Author&gt;&lt;Year&gt;2015&lt;/Year&gt;&lt;RecNum&gt;2681&lt;/RecNum&gt;&lt;DisplayText&gt;(84)&lt;/DisplayText&gt;&lt;record&gt;&lt;rec-number&gt;2681&lt;/rec-number&gt;&lt;foreign-keys&gt;&lt;key app="EN" db-id="e9599aspizr5wce0e5e525zxzawvf0wprt09" timestamp="1454333569"&gt;2681&lt;/key&gt;&lt;/foreign-keys&gt;&lt;ref-type name="Web Page"&gt;12&lt;/ref-type&gt;&lt;contributors&gt;&lt;authors&gt;&lt;author&gt;Havrdova, E. &lt;/author&gt;&lt;author&gt;Arnold, D.L.&lt;/author&gt;&lt;author&gt;Cohen, J.A.&lt;/author&gt;&lt;author&gt;Compston, D.A.S.&lt;/author&gt;&lt;author&gt;Fox, E.J.&lt;/author&gt;&lt;author&gt;Hartung, H.-P.&lt;/author&gt;&lt;author&gt;Selmaj, K.W. &lt;/author&gt;&lt;author&gt;Margolin, D.H.&lt;/author&gt;&lt;author&gt;Kasten, L.&lt;/author&gt;&lt;author&gt;Panzara, M.A&lt;/author&gt;&lt;author&gt;Coles, A.J.&lt;/author&gt;&lt;/authors&gt;&lt;/contributors&gt;&lt;titles&gt;&lt;title&gt;Durable efficacy of alemtuzumab on clinical outcomes over 5 years in treatment-naive patients with active relapsing-remitting multiple sclerosis with most patients not receiving treatment for 4 years: CARE-MS I extension study&lt;/title&gt;&lt;/titles&gt;&lt;number&gt;2015&lt;/number&gt;&lt;dates&gt;&lt;year&gt;2015&lt;/year&gt;&lt;pub-dates&gt;&lt;date&gt;2015&lt;/date&gt;&lt;/pub-dates&gt;&lt;/dates&gt;&lt;publisher&gt;ECTRIMS Online Library&lt;/publisher&gt;&lt;urls&gt;&lt;related-urls&gt;&lt;url&gt;http://onlinelibrary.ectrims-congress.eu/ectrims/2015/31st/116625/eva.havrdova.durable.efficacy.of.alemtuzumab.on.clinical.outcomes.over.5.years.html?f=m3&lt;/url&gt;&lt;/related-urls&gt;&lt;/urls&gt;&lt;/record&gt;&lt;/Cite&gt;&lt;/EndNote&gt;</w:instrText>
      </w:r>
      <w:r w:rsidR="00204467" w:rsidRPr="00F7606D">
        <w:rPr>
          <w:rFonts w:asciiTheme="minorHAnsi" w:hAnsiTheme="minorHAnsi"/>
          <w:sz w:val="20"/>
          <w:szCs w:val="20"/>
          <w:lang w:val="en-GB"/>
        </w:rPr>
        <w:fldChar w:fldCharType="separate"/>
      </w:r>
      <w:r w:rsidRPr="00F7606D">
        <w:rPr>
          <w:rFonts w:asciiTheme="minorHAnsi" w:hAnsiTheme="minorHAnsi"/>
          <w:sz w:val="20"/>
          <w:szCs w:val="20"/>
          <w:lang w:val="en-GB"/>
        </w:rPr>
        <w:t>(84)</w:t>
      </w:r>
      <w:r w:rsidR="00204467" w:rsidRPr="00F7606D">
        <w:rPr>
          <w:rFonts w:asciiTheme="minorHAnsi" w:hAnsiTheme="minorHAnsi"/>
          <w:sz w:val="20"/>
          <w:szCs w:val="20"/>
          <w:lang w:val="en-GB"/>
        </w:rPr>
        <w:fldChar w:fldCharType="end"/>
      </w:r>
      <w:r w:rsidRPr="00F7606D">
        <w:rPr>
          <w:rFonts w:asciiTheme="minorHAnsi" w:hAnsiTheme="minorHAnsi"/>
          <w:sz w:val="20"/>
          <w:szCs w:val="20"/>
          <w:lang w:val="en-GB"/>
        </w:rPr>
        <w:t>.</w:t>
      </w:r>
      <w:r>
        <w:rPr>
          <w:rFonts w:asciiTheme="minorHAnsi" w:hAnsiTheme="minorHAnsi"/>
          <w:sz w:val="20"/>
          <w:szCs w:val="20"/>
          <w:lang w:val="en-GB"/>
        </w:rPr>
        <w:t xml:space="preserve">  </w:t>
      </w:r>
      <w:r w:rsidRPr="00F7606D">
        <w:rPr>
          <w:rFonts w:asciiTheme="minorHAnsi" w:hAnsiTheme="minorHAnsi"/>
          <w:sz w:val="20"/>
          <w:szCs w:val="20"/>
          <w:vertAlign w:val="superscript"/>
          <w:lang w:val="en-GB"/>
        </w:rPr>
        <w:t xml:space="preserve">C </w:t>
      </w:r>
      <w:r w:rsidRPr="00F7606D">
        <w:rPr>
          <w:rFonts w:asciiTheme="minorHAnsi" w:hAnsiTheme="minorHAnsi"/>
          <w:sz w:val="20"/>
          <w:szCs w:val="20"/>
          <w:lang w:val="en-GB"/>
        </w:rPr>
        <w:t xml:space="preserve"> Glatiramer acetate 40 mg/ml 3 times per week: LIS price 2015: 6702,38 (12 syringes per </w:t>
      </w:r>
      <w:r>
        <w:rPr>
          <w:rFonts w:asciiTheme="minorHAnsi" w:hAnsiTheme="minorHAnsi"/>
          <w:sz w:val="20"/>
          <w:szCs w:val="20"/>
          <w:lang w:val="en-GB"/>
        </w:rPr>
        <w:t xml:space="preserve"> </w:t>
      </w:r>
      <w:r w:rsidRPr="00F7606D">
        <w:rPr>
          <w:rFonts w:asciiTheme="minorHAnsi" w:hAnsiTheme="minorHAnsi"/>
          <w:sz w:val="20"/>
          <w:szCs w:val="20"/>
          <w:lang w:val="en-GB"/>
        </w:rPr>
        <w:t>package). Annual drug cost was estimated to be NOK 87,131.</w:t>
      </w:r>
      <w:r w:rsidR="00DA73DE" w:rsidRPr="00DA73DE">
        <w:rPr>
          <w:rFonts w:asciiTheme="minorHAnsi" w:hAnsiTheme="minorHAnsi"/>
          <w:sz w:val="20"/>
          <w:szCs w:val="20"/>
          <w:vertAlign w:val="superscript"/>
          <w:lang w:val="en-GB"/>
        </w:rPr>
        <w:t xml:space="preserve"> d</w:t>
      </w:r>
      <w:r w:rsidR="00DA73DE">
        <w:rPr>
          <w:rFonts w:asciiTheme="minorHAnsi" w:hAnsiTheme="minorHAnsi"/>
          <w:sz w:val="20"/>
          <w:szCs w:val="20"/>
          <w:lang w:val="en-GB"/>
        </w:rPr>
        <w:t xml:space="preserve"> We used the LIS price 2015 for the products that </w:t>
      </w:r>
      <w:r w:rsidR="00DA73DE" w:rsidRPr="00DB064F">
        <w:rPr>
          <w:rFonts w:asciiTheme="minorHAnsi" w:hAnsiTheme="minorHAnsi"/>
          <w:sz w:val="20"/>
          <w:szCs w:val="20"/>
          <w:lang w:val="en-GB"/>
        </w:rPr>
        <w:t xml:space="preserve">had 85% of Rebif 44- market in </w:t>
      </w:r>
      <w:r w:rsidR="00DA73DE">
        <w:rPr>
          <w:rFonts w:asciiTheme="minorHAnsi" w:hAnsiTheme="minorHAnsi"/>
          <w:sz w:val="20"/>
          <w:szCs w:val="20"/>
          <w:lang w:val="en-GB"/>
        </w:rPr>
        <w:t xml:space="preserve">the </w:t>
      </w:r>
      <w:r w:rsidR="00DA73DE" w:rsidRPr="00DB064F">
        <w:rPr>
          <w:rFonts w:asciiTheme="minorHAnsi" w:hAnsiTheme="minorHAnsi"/>
          <w:sz w:val="20"/>
          <w:szCs w:val="20"/>
          <w:lang w:val="en-GB"/>
        </w:rPr>
        <w:t>recent years</w:t>
      </w:r>
      <w:r w:rsidR="00DA73DE">
        <w:rPr>
          <w:rFonts w:asciiTheme="minorHAnsi" w:hAnsiTheme="minorHAnsi"/>
          <w:sz w:val="20"/>
          <w:szCs w:val="20"/>
          <w:lang w:val="en-GB"/>
        </w:rPr>
        <w:t xml:space="preserve"> in Norway</w:t>
      </w:r>
      <w:r w:rsidR="00DA73DE" w:rsidRPr="00DB064F">
        <w:rPr>
          <w:rFonts w:asciiTheme="minorHAnsi" w:hAnsiTheme="minorHAnsi"/>
          <w:sz w:val="20"/>
          <w:szCs w:val="20"/>
          <w:lang w:val="en-GB"/>
        </w:rPr>
        <w:t xml:space="preserve"> (2013-2015)</w:t>
      </w:r>
      <w:r w:rsidR="00DA73DE">
        <w:rPr>
          <w:rFonts w:asciiTheme="minorHAnsi" w:hAnsiTheme="minorHAnsi"/>
          <w:sz w:val="20"/>
          <w:szCs w:val="20"/>
          <w:lang w:val="en-GB"/>
        </w:rPr>
        <w:t xml:space="preserve">. Those products were </w:t>
      </w:r>
      <w:r w:rsidR="00DA73DE" w:rsidRPr="00DB064F">
        <w:rPr>
          <w:rFonts w:asciiTheme="minorHAnsi" w:hAnsiTheme="minorHAnsi"/>
          <w:sz w:val="20"/>
          <w:szCs w:val="20"/>
          <w:lang w:val="en-GB"/>
        </w:rPr>
        <w:t>pre-filled syringe</w:t>
      </w:r>
      <w:r w:rsidR="00DA73DE">
        <w:rPr>
          <w:rFonts w:asciiTheme="minorHAnsi" w:hAnsiTheme="minorHAnsi"/>
          <w:sz w:val="20"/>
          <w:szCs w:val="20"/>
          <w:lang w:val="en-GB"/>
        </w:rPr>
        <w:t xml:space="preserve"> and </w:t>
      </w:r>
      <w:r w:rsidR="00DA73DE" w:rsidRPr="00776681">
        <w:rPr>
          <w:rFonts w:asciiTheme="minorHAnsi" w:hAnsiTheme="minorHAnsi"/>
          <w:sz w:val="20"/>
          <w:szCs w:val="20"/>
          <w:lang w:val="en-GB"/>
        </w:rPr>
        <w:t>autoinjector pen</w:t>
      </w:r>
      <w:r w:rsidR="00DA73DE">
        <w:rPr>
          <w:rFonts w:asciiTheme="minorHAnsi" w:hAnsiTheme="minorHAnsi"/>
          <w:sz w:val="20"/>
          <w:szCs w:val="20"/>
          <w:lang w:val="en-GB"/>
        </w:rPr>
        <w:t>.</w:t>
      </w:r>
    </w:p>
    <w:p w:rsidR="004A331F" w:rsidRDefault="004A331F" w:rsidP="007F3BF7">
      <w:pPr>
        <w:pStyle w:val="20"/>
        <w:numPr>
          <w:ilvl w:val="0"/>
          <w:numId w:val="0"/>
        </w:numPr>
        <w:rPr>
          <w:rFonts w:ascii="Times New Roman" w:hAnsi="Times New Roman" w:cs="Times New Roman"/>
          <w:sz w:val="28"/>
        </w:rPr>
        <w:sectPr w:rsidR="004A331F">
          <w:pgSz w:w="11906" w:h="16838"/>
          <w:pgMar w:top="1417" w:right="1417" w:bottom="1417" w:left="1417" w:header="708" w:footer="708" w:gutter="0"/>
          <w:cols w:space="708"/>
          <w:docGrid w:linePitch="360"/>
        </w:sectPr>
      </w:pPr>
    </w:p>
    <w:p w:rsidR="004A331F" w:rsidRPr="000D044E" w:rsidRDefault="000D044E" w:rsidP="000D044E">
      <w:pPr>
        <w:pStyle w:val="Figuretext"/>
        <w:rPr>
          <w:szCs w:val="20"/>
        </w:rPr>
      </w:pPr>
      <w:r w:rsidRPr="000D044E">
        <w:rPr>
          <w:b/>
          <w:szCs w:val="20"/>
        </w:rPr>
        <w:t>Table 6</w:t>
      </w:r>
      <w:r w:rsidR="004A331F" w:rsidRPr="000D044E">
        <w:rPr>
          <w:b/>
          <w:szCs w:val="20"/>
        </w:rPr>
        <w:t>.</w:t>
      </w:r>
      <w:r w:rsidR="004B5285" w:rsidRPr="000D044E">
        <w:rPr>
          <w:b/>
          <w:szCs w:val="20"/>
        </w:rPr>
        <w:t>2</w:t>
      </w:r>
      <w:r w:rsidR="00C92EA7" w:rsidRPr="000D044E">
        <w:rPr>
          <w:b/>
          <w:szCs w:val="20"/>
        </w:rPr>
        <w:t>.</w:t>
      </w:r>
      <w:r w:rsidR="004A331F" w:rsidRPr="000D044E">
        <w:rPr>
          <w:szCs w:val="20"/>
        </w:rPr>
        <w:t xml:space="preserve"> Monitoring costs associated with each of the treatments (1. year)</w:t>
      </w:r>
    </w:p>
    <w:tbl>
      <w:tblPr>
        <w:tblStyle w:val="afff"/>
        <w:tblW w:w="13298" w:type="dxa"/>
        <w:tblLayout w:type="fixed"/>
        <w:tblLook w:val="04A0"/>
      </w:tblPr>
      <w:tblGrid>
        <w:gridCol w:w="1696"/>
        <w:gridCol w:w="1560"/>
        <w:gridCol w:w="1559"/>
        <w:gridCol w:w="1417"/>
        <w:gridCol w:w="1276"/>
        <w:gridCol w:w="1158"/>
        <w:gridCol w:w="1158"/>
        <w:gridCol w:w="1158"/>
        <w:gridCol w:w="1158"/>
        <w:gridCol w:w="1158"/>
      </w:tblGrid>
      <w:tr w:rsidR="004A331F" w:rsidRPr="00F7606D" w:rsidTr="0075275D">
        <w:trPr>
          <w:trHeight w:val="1272"/>
        </w:trPr>
        <w:tc>
          <w:tcPr>
            <w:tcW w:w="1696" w:type="dxa"/>
            <w:shd w:val="clear" w:color="auto" w:fill="D9D9D9" w:themeFill="background1" w:themeFillShade="D9"/>
            <w:vAlign w:val="center"/>
            <w:hideMark/>
          </w:tcPr>
          <w:p w:rsidR="004A331F" w:rsidRPr="00F7606D" w:rsidRDefault="004A331F" w:rsidP="004A331F">
            <w:pPr>
              <w:rPr>
                <w:rFonts w:ascii="Arial Narrow" w:hAnsi="Arial Narrow"/>
                <w:b/>
                <w:szCs w:val="22"/>
                <w:lang w:val="en-GB"/>
              </w:rPr>
            </w:pPr>
            <w:r w:rsidRPr="00F7606D">
              <w:rPr>
                <w:rFonts w:ascii="Arial Narrow" w:hAnsi="Arial Narrow"/>
                <w:b/>
                <w:szCs w:val="22"/>
                <w:lang w:val="en-GB"/>
              </w:rPr>
              <w:t>Drug</w:t>
            </w:r>
          </w:p>
        </w:tc>
        <w:tc>
          <w:tcPr>
            <w:tcW w:w="1560" w:type="dxa"/>
            <w:shd w:val="clear" w:color="auto" w:fill="D9D9D9" w:themeFill="background1" w:themeFillShade="D9"/>
            <w:vAlign w:val="center"/>
          </w:tcPr>
          <w:p w:rsidR="004A331F" w:rsidRPr="00F7606D" w:rsidRDefault="004A331F" w:rsidP="004A331F">
            <w:pPr>
              <w:jc w:val="center"/>
              <w:rPr>
                <w:rFonts w:ascii="Arial Narrow" w:hAnsi="Arial Narrow"/>
                <w:b/>
                <w:szCs w:val="22"/>
                <w:lang w:val="en-GB"/>
              </w:rPr>
            </w:pPr>
            <w:r w:rsidRPr="00F7606D">
              <w:rPr>
                <w:rFonts w:ascii="Arial Narrow" w:hAnsi="Arial Narrow"/>
                <w:b/>
                <w:szCs w:val="22"/>
                <w:lang w:val="en-GB"/>
              </w:rPr>
              <w:t>NAB-analyses</w:t>
            </w:r>
          </w:p>
        </w:tc>
        <w:tc>
          <w:tcPr>
            <w:tcW w:w="1559" w:type="dxa"/>
            <w:shd w:val="clear" w:color="auto" w:fill="D9D9D9" w:themeFill="background1" w:themeFillShade="D9"/>
            <w:vAlign w:val="center"/>
          </w:tcPr>
          <w:p w:rsidR="004A331F" w:rsidRPr="00F7606D" w:rsidRDefault="004A331F" w:rsidP="004A331F">
            <w:pPr>
              <w:jc w:val="center"/>
              <w:rPr>
                <w:rFonts w:ascii="Arial Narrow" w:hAnsi="Arial Narrow"/>
                <w:b/>
                <w:szCs w:val="22"/>
                <w:lang w:val="en-GB"/>
              </w:rPr>
            </w:pPr>
            <w:r w:rsidRPr="00F7606D">
              <w:rPr>
                <w:rFonts w:ascii="Arial Narrow" w:hAnsi="Arial Narrow"/>
                <w:b/>
                <w:szCs w:val="22"/>
                <w:lang w:val="en-GB"/>
              </w:rPr>
              <w:t>Infusion costs</w:t>
            </w:r>
          </w:p>
        </w:tc>
        <w:tc>
          <w:tcPr>
            <w:tcW w:w="1417" w:type="dxa"/>
            <w:shd w:val="clear" w:color="auto" w:fill="D9D9D9" w:themeFill="background1" w:themeFillShade="D9"/>
            <w:vAlign w:val="center"/>
          </w:tcPr>
          <w:p w:rsidR="004A331F" w:rsidRPr="00F7606D" w:rsidRDefault="004A331F" w:rsidP="004A331F">
            <w:pPr>
              <w:jc w:val="center"/>
              <w:rPr>
                <w:rFonts w:ascii="Arial Narrow" w:hAnsi="Arial Narrow"/>
                <w:b/>
                <w:szCs w:val="22"/>
                <w:lang w:val="en-GB"/>
              </w:rPr>
            </w:pPr>
            <w:r w:rsidRPr="00F7606D">
              <w:rPr>
                <w:rFonts w:ascii="Arial Narrow" w:hAnsi="Arial Narrow"/>
                <w:b/>
                <w:szCs w:val="22"/>
                <w:lang w:val="en-GB"/>
              </w:rPr>
              <w:t>Eye examinations</w:t>
            </w:r>
          </w:p>
        </w:tc>
        <w:tc>
          <w:tcPr>
            <w:tcW w:w="1276" w:type="dxa"/>
            <w:shd w:val="clear" w:color="auto" w:fill="D9D9D9" w:themeFill="background1" w:themeFillShade="D9"/>
            <w:vAlign w:val="center"/>
          </w:tcPr>
          <w:p w:rsidR="004A331F" w:rsidRPr="00F7606D" w:rsidRDefault="004A331F" w:rsidP="004A331F">
            <w:pPr>
              <w:jc w:val="center"/>
              <w:rPr>
                <w:rFonts w:ascii="Arial Narrow" w:hAnsi="Arial Narrow"/>
                <w:b/>
                <w:szCs w:val="22"/>
                <w:lang w:val="en-GB"/>
              </w:rPr>
            </w:pPr>
            <w:r w:rsidRPr="00F7606D">
              <w:rPr>
                <w:rFonts w:ascii="Arial Narrow" w:hAnsi="Arial Narrow"/>
                <w:b/>
                <w:szCs w:val="22"/>
                <w:lang w:val="en-GB"/>
              </w:rPr>
              <w:t>Startup costs</w:t>
            </w:r>
          </w:p>
        </w:tc>
        <w:tc>
          <w:tcPr>
            <w:tcW w:w="1158" w:type="dxa"/>
            <w:shd w:val="clear" w:color="auto" w:fill="D9D9D9" w:themeFill="background1" w:themeFillShade="D9"/>
            <w:vAlign w:val="center"/>
          </w:tcPr>
          <w:p w:rsidR="004A331F" w:rsidRPr="00F7606D" w:rsidRDefault="004A331F" w:rsidP="004A331F">
            <w:pPr>
              <w:jc w:val="center"/>
              <w:rPr>
                <w:rFonts w:ascii="Arial Narrow" w:hAnsi="Arial Narrow"/>
                <w:b/>
                <w:szCs w:val="22"/>
                <w:lang w:val="en-GB"/>
              </w:rPr>
            </w:pPr>
            <w:r w:rsidRPr="00F7606D">
              <w:rPr>
                <w:rFonts w:ascii="Arial Narrow" w:hAnsi="Arial Narrow"/>
                <w:b/>
                <w:szCs w:val="22"/>
                <w:lang w:val="en-GB"/>
              </w:rPr>
              <w:t>Medical consultations</w:t>
            </w:r>
          </w:p>
        </w:tc>
        <w:tc>
          <w:tcPr>
            <w:tcW w:w="1158" w:type="dxa"/>
            <w:shd w:val="clear" w:color="auto" w:fill="D9D9D9" w:themeFill="background1" w:themeFillShade="D9"/>
            <w:vAlign w:val="center"/>
          </w:tcPr>
          <w:p w:rsidR="004A331F" w:rsidRPr="00F7606D" w:rsidRDefault="004A331F" w:rsidP="004A331F">
            <w:pPr>
              <w:jc w:val="center"/>
              <w:rPr>
                <w:rFonts w:ascii="Arial Narrow" w:hAnsi="Arial Narrow"/>
                <w:b/>
                <w:szCs w:val="22"/>
                <w:lang w:val="en-GB"/>
              </w:rPr>
            </w:pPr>
            <w:r w:rsidRPr="00F7606D">
              <w:rPr>
                <w:rFonts w:ascii="Arial Narrow" w:hAnsi="Arial Narrow"/>
                <w:b/>
                <w:szCs w:val="22"/>
                <w:lang w:val="en-GB"/>
              </w:rPr>
              <w:t>MRI</w:t>
            </w:r>
          </w:p>
        </w:tc>
        <w:tc>
          <w:tcPr>
            <w:tcW w:w="1158" w:type="dxa"/>
            <w:shd w:val="clear" w:color="auto" w:fill="D9D9D9" w:themeFill="background1" w:themeFillShade="D9"/>
            <w:vAlign w:val="center"/>
          </w:tcPr>
          <w:p w:rsidR="004A331F" w:rsidRPr="00F7606D" w:rsidRDefault="004A331F" w:rsidP="004A331F">
            <w:pPr>
              <w:pStyle w:val="Tabelltekst"/>
              <w:jc w:val="center"/>
              <w:rPr>
                <w:b/>
                <w:szCs w:val="22"/>
                <w:lang w:val="en-GB"/>
              </w:rPr>
            </w:pPr>
            <w:r w:rsidRPr="00F7606D">
              <w:rPr>
                <w:b/>
                <w:szCs w:val="22"/>
                <w:lang w:val="en-GB"/>
              </w:rPr>
              <w:t>Blood tests</w:t>
            </w:r>
          </w:p>
          <w:p w:rsidR="004A331F" w:rsidRPr="00F7606D" w:rsidRDefault="004A331F" w:rsidP="004A331F">
            <w:pPr>
              <w:pStyle w:val="Tabelltekst"/>
              <w:jc w:val="center"/>
              <w:rPr>
                <w:b/>
                <w:szCs w:val="22"/>
                <w:lang w:val="en-GB"/>
              </w:rPr>
            </w:pPr>
            <w:r w:rsidRPr="00F7606D">
              <w:rPr>
                <w:b/>
                <w:szCs w:val="22"/>
                <w:lang w:val="en-GB"/>
              </w:rPr>
              <w:t>(outpatient visits)</w:t>
            </w:r>
          </w:p>
        </w:tc>
        <w:tc>
          <w:tcPr>
            <w:tcW w:w="1158" w:type="dxa"/>
            <w:shd w:val="clear" w:color="auto" w:fill="D9D9D9" w:themeFill="background1" w:themeFillShade="D9"/>
            <w:vAlign w:val="center"/>
          </w:tcPr>
          <w:p w:rsidR="004A331F" w:rsidRPr="00F7606D" w:rsidRDefault="004A331F" w:rsidP="004A331F">
            <w:pPr>
              <w:pStyle w:val="Tabelltekst"/>
              <w:jc w:val="center"/>
              <w:rPr>
                <w:b/>
                <w:szCs w:val="22"/>
                <w:lang w:val="en-GB"/>
              </w:rPr>
            </w:pPr>
            <w:r w:rsidRPr="00F7606D">
              <w:rPr>
                <w:b/>
                <w:szCs w:val="22"/>
                <w:lang w:val="en-GB"/>
              </w:rPr>
              <w:t>Travel costs</w:t>
            </w:r>
            <w:r w:rsidRPr="00F7606D">
              <w:rPr>
                <w:b/>
                <w:szCs w:val="22"/>
                <w:vertAlign w:val="superscript"/>
                <w:lang w:val="en-GB"/>
              </w:rPr>
              <w:t xml:space="preserve"> </w:t>
            </w:r>
          </w:p>
        </w:tc>
        <w:tc>
          <w:tcPr>
            <w:tcW w:w="1158" w:type="dxa"/>
            <w:shd w:val="clear" w:color="auto" w:fill="D9D9D9" w:themeFill="background1" w:themeFillShade="D9"/>
            <w:vAlign w:val="center"/>
          </w:tcPr>
          <w:p w:rsidR="004A331F" w:rsidRPr="00F7606D" w:rsidRDefault="004A331F" w:rsidP="004A331F">
            <w:pPr>
              <w:pStyle w:val="Tabelltekst"/>
              <w:jc w:val="center"/>
              <w:rPr>
                <w:rFonts w:asciiTheme="minorHAnsi" w:hAnsiTheme="minorHAnsi"/>
                <w:b/>
                <w:szCs w:val="20"/>
                <w:lang w:val="en-GB"/>
              </w:rPr>
            </w:pPr>
            <w:r w:rsidRPr="00F7606D">
              <w:rPr>
                <w:rFonts w:asciiTheme="minorHAnsi" w:hAnsiTheme="minorHAnsi"/>
                <w:b/>
                <w:szCs w:val="20"/>
                <w:lang w:val="en-GB"/>
              </w:rPr>
              <w:t>Total</w:t>
            </w:r>
          </w:p>
        </w:tc>
      </w:tr>
      <w:tr w:rsidR="004A331F" w:rsidRPr="00F7606D" w:rsidTr="004A331F">
        <w:trPr>
          <w:trHeight w:val="973"/>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Alemtuzumab (Lemtrada)</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9777</w:t>
            </w:r>
          </w:p>
          <w:p w:rsidR="004A331F" w:rsidRPr="00F7606D" w:rsidRDefault="004A331F" w:rsidP="004A331F">
            <w:pPr>
              <w:jc w:val="center"/>
              <w:rPr>
                <w:rFonts w:ascii="Arial Narrow" w:hAnsi="Arial Narrow"/>
                <w:lang w:val="en-GB"/>
              </w:rPr>
            </w:pPr>
            <w:r w:rsidRPr="00F7606D">
              <w:rPr>
                <w:rFonts w:ascii="Arial Narrow" w:hAnsi="Arial Narrow"/>
                <w:lang w:val="en-GB"/>
              </w:rPr>
              <w:t>(5/year)</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7350</w:t>
            </w:r>
          </w:p>
          <w:p w:rsidR="004A331F" w:rsidRPr="00F7606D" w:rsidRDefault="004A331F" w:rsidP="004A331F">
            <w:pPr>
              <w:jc w:val="center"/>
              <w:rPr>
                <w:rFonts w:ascii="Arial Narrow" w:hAnsi="Arial Narrow"/>
                <w:lang w:val="en-GB"/>
              </w:rPr>
            </w:pPr>
            <w:r w:rsidRPr="00F7606D">
              <w:rPr>
                <w:rFonts w:ascii="Arial Narrow" w:hAnsi="Arial Narrow"/>
                <w:lang w:val="en-GB"/>
              </w:rPr>
              <w:t>(4/year)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w:t>
            </w:r>
          </w:p>
          <w:p w:rsidR="004A331F" w:rsidRPr="00F7606D" w:rsidRDefault="004A331F" w:rsidP="004A331F">
            <w:pPr>
              <w:jc w:val="center"/>
              <w:rPr>
                <w:rFonts w:ascii="Arial Narrow" w:hAnsi="Arial Narrow"/>
                <w:lang w:val="en-GB"/>
              </w:rPr>
            </w:pPr>
            <w:r w:rsidRPr="00F7606D">
              <w:rPr>
                <w:rFonts w:ascii="Arial Narrow" w:hAnsi="Arial Narrow"/>
                <w:lang w:val="en-GB"/>
              </w:rPr>
              <w:t>(1/year)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1008</w:t>
            </w:r>
          </w:p>
          <w:p w:rsidR="004A331F" w:rsidRPr="00F7606D" w:rsidRDefault="004A331F" w:rsidP="004A331F">
            <w:pPr>
              <w:jc w:val="center"/>
              <w:rPr>
                <w:rFonts w:ascii="Arial Narrow" w:hAnsi="Arial Narrow"/>
                <w:lang w:val="en-GB"/>
              </w:rPr>
            </w:pPr>
            <w:r w:rsidRPr="00F7606D">
              <w:rPr>
                <w:rFonts w:ascii="Arial Narrow" w:hAnsi="Arial Narrow"/>
                <w:lang w:val="en-GB"/>
              </w:rPr>
              <w:t>(9/year)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2000</w:t>
            </w:r>
            <w:r w:rsidRPr="00F7606D">
              <w:rPr>
                <w:b/>
                <w:szCs w:val="22"/>
                <w:vertAlign w:val="superscript"/>
                <w:lang w:val="en-GB"/>
              </w:rPr>
              <w:t xml:space="preserve"> a</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22,735</w:t>
            </w:r>
          </w:p>
        </w:tc>
      </w:tr>
      <w:tr w:rsidR="004A331F" w:rsidRPr="00F7606D" w:rsidTr="004A331F">
        <w:trPr>
          <w:trHeight w:val="974"/>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Dimethyl fumarate (Tecifidera)</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7350 (4/year)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w:t>
            </w:r>
          </w:p>
          <w:p w:rsidR="004A331F" w:rsidRPr="00F7606D" w:rsidRDefault="004A331F" w:rsidP="004A331F">
            <w:pPr>
              <w:jc w:val="center"/>
              <w:rPr>
                <w:rFonts w:ascii="Arial Narrow" w:hAnsi="Arial Narrow"/>
                <w:lang w:val="en-GB"/>
              </w:rPr>
            </w:pPr>
            <w:r w:rsidRPr="00F7606D">
              <w:rPr>
                <w:rFonts w:ascii="Arial Narrow" w:hAnsi="Arial Narrow"/>
                <w:lang w:val="en-GB"/>
              </w:rPr>
              <w:t>(1/year)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1600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11,550</w:t>
            </w:r>
          </w:p>
        </w:tc>
      </w:tr>
      <w:tr w:rsidR="004A331F" w:rsidRPr="00F7606D" w:rsidTr="004A331F">
        <w:trPr>
          <w:trHeight w:val="924"/>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Fingolimod  (Gilenya)</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2500</w:t>
            </w:r>
          </w:p>
          <w:p w:rsidR="004A331F" w:rsidRPr="00F7606D" w:rsidRDefault="004A331F" w:rsidP="004A331F">
            <w:pPr>
              <w:jc w:val="center"/>
              <w:rPr>
                <w:rFonts w:ascii="Arial Narrow" w:hAnsi="Arial Narrow"/>
                <w:lang w:val="en-GB"/>
              </w:rPr>
            </w:pPr>
            <w:r w:rsidRPr="00F7606D">
              <w:rPr>
                <w:rFonts w:ascii="Arial Narrow" w:hAnsi="Arial Narrow"/>
                <w:lang w:val="en-GB"/>
              </w:rPr>
              <w:t>(1/year)</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3750 </w:t>
            </w:r>
            <w:r w:rsidRPr="00F7606D">
              <w:rPr>
                <w:rFonts w:ascii="Arial Narrow" w:hAnsi="Arial Narrow"/>
                <w:vertAlign w:val="superscript"/>
                <w:lang w:val="en-GB"/>
              </w:rPr>
              <w:t>c</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7350</w:t>
            </w:r>
          </w:p>
          <w:p w:rsidR="004A331F" w:rsidRPr="00F7606D" w:rsidRDefault="004A331F" w:rsidP="004A331F">
            <w:pPr>
              <w:jc w:val="center"/>
              <w:rPr>
                <w:rFonts w:ascii="Arial Narrow" w:hAnsi="Arial Narrow"/>
                <w:lang w:val="en-GB"/>
              </w:rPr>
            </w:pPr>
            <w:r w:rsidRPr="00F7606D">
              <w:rPr>
                <w:rFonts w:ascii="Arial Narrow" w:hAnsi="Arial Narrow"/>
                <w:lang w:val="en-GB"/>
              </w:rPr>
              <w:t>(4/year)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w:t>
            </w:r>
          </w:p>
          <w:p w:rsidR="004A331F" w:rsidRPr="00F7606D" w:rsidRDefault="004A331F" w:rsidP="004A331F">
            <w:pPr>
              <w:jc w:val="center"/>
              <w:rPr>
                <w:rFonts w:ascii="Arial Narrow" w:hAnsi="Arial Narrow"/>
                <w:lang w:val="en-GB"/>
              </w:rPr>
            </w:pPr>
            <w:r w:rsidRPr="00F7606D">
              <w:rPr>
                <w:rFonts w:ascii="Arial Narrow" w:hAnsi="Arial Narrow"/>
                <w:lang w:val="en-GB"/>
              </w:rPr>
              <w:t>(1/year)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112</w:t>
            </w:r>
          </w:p>
          <w:p w:rsidR="004A331F" w:rsidRPr="00F7606D" w:rsidRDefault="004A331F" w:rsidP="004A331F">
            <w:pPr>
              <w:jc w:val="center"/>
              <w:rPr>
                <w:rFonts w:ascii="Arial Narrow" w:hAnsi="Arial Narrow"/>
                <w:lang w:val="en-GB"/>
              </w:rPr>
            </w:pPr>
            <w:r w:rsidRPr="00F7606D">
              <w:rPr>
                <w:rFonts w:ascii="Arial Narrow" w:hAnsi="Arial Narrow"/>
                <w:lang w:val="en-GB"/>
              </w:rPr>
              <w:t>(1/year)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1600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17,912</w:t>
            </w:r>
          </w:p>
        </w:tc>
      </w:tr>
      <w:tr w:rsidR="004A331F" w:rsidRPr="00F7606D" w:rsidTr="004A331F">
        <w:trPr>
          <w:trHeight w:val="852"/>
        </w:trPr>
        <w:tc>
          <w:tcPr>
            <w:tcW w:w="1696" w:type="dxa"/>
            <w:noWrap/>
            <w:vAlign w:val="center"/>
          </w:tcPr>
          <w:p w:rsidR="004A331F" w:rsidRPr="00F7606D" w:rsidRDefault="004A331F" w:rsidP="004A331F">
            <w:pPr>
              <w:rPr>
                <w:rFonts w:ascii="Arial Narrow" w:hAnsi="Arial Narrow"/>
                <w:b/>
                <w:szCs w:val="22"/>
                <w:lang w:val="en-GB"/>
              </w:rPr>
            </w:pPr>
            <w:r w:rsidRPr="00F7606D">
              <w:rPr>
                <w:rFonts w:ascii="Arial Narrow" w:hAnsi="Arial Narrow"/>
                <w:b/>
                <w:szCs w:val="22"/>
                <w:lang w:val="en-GB"/>
              </w:rPr>
              <w:t>Glatiramer  acetate</w:t>
            </w:r>
          </w:p>
          <w:p w:rsidR="004A331F" w:rsidRPr="00F7606D" w:rsidRDefault="004A331F" w:rsidP="004A331F">
            <w:pPr>
              <w:pStyle w:val="Tabelltekst"/>
              <w:rPr>
                <w:b/>
                <w:szCs w:val="22"/>
                <w:lang w:val="en-GB"/>
              </w:rPr>
            </w:pPr>
            <w:r w:rsidRPr="00F7606D">
              <w:rPr>
                <w:b/>
                <w:szCs w:val="22"/>
                <w:lang w:val="en-GB"/>
              </w:rPr>
              <w:t>(Copaxone)</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7350 (4/year)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w:t>
            </w:r>
          </w:p>
          <w:p w:rsidR="004A331F" w:rsidRPr="00F7606D" w:rsidRDefault="004A331F" w:rsidP="004A331F">
            <w:pPr>
              <w:jc w:val="center"/>
              <w:rPr>
                <w:rFonts w:ascii="Arial Narrow" w:hAnsi="Arial Narrow"/>
                <w:lang w:val="en-GB"/>
              </w:rPr>
            </w:pPr>
            <w:r w:rsidRPr="00F7606D">
              <w:rPr>
                <w:rFonts w:ascii="Arial Narrow" w:hAnsi="Arial Narrow"/>
                <w:lang w:val="en-GB"/>
              </w:rPr>
              <w:t>(1/year)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1600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11,550</w:t>
            </w:r>
          </w:p>
        </w:tc>
      </w:tr>
      <w:tr w:rsidR="004A331F" w:rsidRPr="00F7606D" w:rsidTr="004A331F">
        <w:trPr>
          <w:trHeight w:val="717"/>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Interferon beta-1a (Avonex)</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7716</w:t>
            </w:r>
          </w:p>
          <w:p w:rsidR="004A331F" w:rsidRPr="00F7606D" w:rsidRDefault="004A331F" w:rsidP="004A331F">
            <w:pPr>
              <w:jc w:val="center"/>
              <w:rPr>
                <w:rFonts w:ascii="Arial Narrow" w:hAnsi="Arial Narrow"/>
                <w:lang w:val="en-GB"/>
              </w:rPr>
            </w:pPr>
            <w:r w:rsidRPr="00F7606D">
              <w:rPr>
                <w:rFonts w:ascii="Arial Narrow" w:hAnsi="Arial Narrow"/>
                <w:lang w:val="en-GB"/>
              </w:rPr>
              <w:t>(2/year)</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7350 (4/year)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 (1/year)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1600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19,266</w:t>
            </w:r>
          </w:p>
        </w:tc>
      </w:tr>
      <w:tr w:rsidR="004A331F" w:rsidRPr="00F7606D" w:rsidTr="004A331F">
        <w:trPr>
          <w:trHeight w:val="653"/>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Interferon beta-1a 44 mcg (Rebif)</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7716</w:t>
            </w:r>
          </w:p>
          <w:p w:rsidR="004A331F" w:rsidRPr="00F7606D" w:rsidRDefault="004A331F" w:rsidP="004A331F">
            <w:pPr>
              <w:jc w:val="center"/>
              <w:rPr>
                <w:rFonts w:ascii="Arial Narrow" w:hAnsi="Arial Narrow"/>
                <w:lang w:val="en-GB"/>
              </w:rPr>
            </w:pPr>
            <w:r w:rsidRPr="00F7606D">
              <w:rPr>
                <w:rFonts w:ascii="Arial Narrow" w:hAnsi="Arial Narrow"/>
                <w:lang w:val="en-GB"/>
              </w:rPr>
              <w:t>(2/year)</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7350 (4/year)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 (1/year)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1600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19,266</w:t>
            </w:r>
          </w:p>
        </w:tc>
      </w:tr>
      <w:tr w:rsidR="004A331F" w:rsidRPr="00F7606D" w:rsidTr="004A331F">
        <w:trPr>
          <w:trHeight w:val="653"/>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Interferon beta-1a 22 mcg (Rebif)</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7716</w:t>
            </w:r>
          </w:p>
          <w:p w:rsidR="004A331F" w:rsidRPr="00F7606D" w:rsidRDefault="004A331F" w:rsidP="004A331F">
            <w:pPr>
              <w:jc w:val="center"/>
              <w:rPr>
                <w:rFonts w:ascii="Arial Narrow" w:hAnsi="Arial Narrow"/>
                <w:lang w:val="en-GB"/>
              </w:rPr>
            </w:pPr>
            <w:r w:rsidRPr="00F7606D">
              <w:rPr>
                <w:rFonts w:ascii="Arial Narrow" w:hAnsi="Arial Narrow"/>
                <w:lang w:val="en-GB"/>
              </w:rPr>
              <w:t>(2/year)</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7350 (4/year)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 (1/year)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1600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19,266</w:t>
            </w:r>
          </w:p>
        </w:tc>
      </w:tr>
      <w:tr w:rsidR="004A331F" w:rsidRPr="00F7606D" w:rsidTr="004A331F">
        <w:trPr>
          <w:trHeight w:val="653"/>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Interferon beta-1b (Betaferon)</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7716</w:t>
            </w:r>
          </w:p>
          <w:p w:rsidR="004A331F" w:rsidRPr="00F7606D" w:rsidRDefault="004A331F" w:rsidP="004A331F">
            <w:pPr>
              <w:jc w:val="center"/>
              <w:rPr>
                <w:rFonts w:ascii="Arial Narrow" w:hAnsi="Arial Narrow"/>
                <w:lang w:val="en-GB"/>
              </w:rPr>
            </w:pPr>
            <w:r w:rsidRPr="00F7606D">
              <w:rPr>
                <w:rFonts w:ascii="Arial Narrow" w:hAnsi="Arial Narrow"/>
                <w:lang w:val="en-GB"/>
              </w:rPr>
              <w:t>(2/year)</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7350 (4/year)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 (1/year)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1600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19,266</w:t>
            </w:r>
          </w:p>
        </w:tc>
      </w:tr>
      <w:tr w:rsidR="004A331F" w:rsidRPr="00F7606D" w:rsidTr="004A331F">
        <w:trPr>
          <w:trHeight w:val="653"/>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Interferon beta-1b (Extavia)</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7716</w:t>
            </w:r>
          </w:p>
          <w:p w:rsidR="004A331F" w:rsidRPr="00F7606D" w:rsidRDefault="004A331F" w:rsidP="004A331F">
            <w:pPr>
              <w:jc w:val="center"/>
              <w:rPr>
                <w:rFonts w:ascii="Arial Narrow" w:hAnsi="Arial Narrow"/>
                <w:lang w:val="en-GB"/>
              </w:rPr>
            </w:pPr>
            <w:r w:rsidRPr="00F7606D">
              <w:rPr>
                <w:rFonts w:ascii="Arial Narrow" w:hAnsi="Arial Narrow"/>
                <w:lang w:val="en-GB"/>
              </w:rPr>
              <w:t>(2/year)</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7350 (4/year)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 (1/year)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1600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19,266</w:t>
            </w:r>
          </w:p>
        </w:tc>
      </w:tr>
      <w:tr w:rsidR="004A331F" w:rsidRPr="00F7606D" w:rsidTr="004A331F">
        <w:trPr>
          <w:trHeight w:val="295"/>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Natalizumab (Tysabri)</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1840</w:t>
            </w:r>
          </w:p>
          <w:p w:rsidR="004A331F" w:rsidRPr="00F7606D" w:rsidRDefault="004A331F" w:rsidP="004A331F">
            <w:pPr>
              <w:jc w:val="center"/>
              <w:rPr>
                <w:rFonts w:ascii="Arial Narrow" w:hAnsi="Arial Narrow"/>
                <w:lang w:val="en-GB"/>
              </w:rPr>
            </w:pPr>
            <w:r w:rsidRPr="00F7606D">
              <w:rPr>
                <w:rFonts w:ascii="Arial Narrow" w:hAnsi="Arial Narrow"/>
                <w:lang w:val="en-GB"/>
              </w:rPr>
              <w:t>(2/year)</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16,250</w:t>
            </w:r>
          </w:p>
          <w:p w:rsidR="004A331F" w:rsidRPr="00F7606D" w:rsidRDefault="004A331F" w:rsidP="004A331F">
            <w:pPr>
              <w:jc w:val="center"/>
              <w:rPr>
                <w:rFonts w:ascii="Arial Narrow" w:hAnsi="Arial Narrow"/>
                <w:lang w:val="en-GB"/>
              </w:rPr>
            </w:pPr>
            <w:r w:rsidRPr="00F7606D">
              <w:rPr>
                <w:rFonts w:ascii="Arial Narrow" w:hAnsi="Arial Narrow"/>
                <w:lang w:val="en-GB"/>
              </w:rPr>
              <w:t>(13/year)</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7350</w:t>
            </w:r>
          </w:p>
          <w:p w:rsidR="004A331F" w:rsidRPr="00F7606D" w:rsidRDefault="004A331F" w:rsidP="004A331F">
            <w:pPr>
              <w:jc w:val="center"/>
              <w:rPr>
                <w:rFonts w:ascii="Arial Narrow" w:hAnsi="Arial Narrow"/>
                <w:lang w:val="en-GB"/>
              </w:rPr>
            </w:pPr>
            <w:r w:rsidRPr="00F7606D">
              <w:rPr>
                <w:rFonts w:ascii="Arial Narrow" w:hAnsi="Arial Narrow"/>
                <w:lang w:val="en-GB"/>
              </w:rPr>
              <w:t>(4/year)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w:t>
            </w:r>
          </w:p>
          <w:p w:rsidR="004A331F" w:rsidRPr="00F7606D" w:rsidRDefault="004A331F" w:rsidP="004A331F">
            <w:pPr>
              <w:jc w:val="center"/>
              <w:rPr>
                <w:rFonts w:ascii="Arial Narrow" w:hAnsi="Arial Narrow"/>
                <w:lang w:val="en-GB"/>
              </w:rPr>
            </w:pPr>
            <w:r w:rsidRPr="00F7606D">
              <w:rPr>
                <w:rFonts w:ascii="Arial Narrow" w:hAnsi="Arial Narrow"/>
                <w:lang w:val="en-GB"/>
              </w:rPr>
              <w:t>(1/year)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5200 </w:t>
            </w:r>
            <w:r w:rsidRPr="00F7606D">
              <w:rPr>
                <w:rFonts w:ascii="Arial Narrow" w:hAnsi="Arial Narrow"/>
                <w:vertAlign w:val="superscript"/>
                <w:lang w:val="en-GB"/>
              </w:rPr>
              <w:t>a</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33,240</w:t>
            </w:r>
          </w:p>
        </w:tc>
      </w:tr>
      <w:tr w:rsidR="004A331F" w:rsidRPr="00F7606D" w:rsidTr="004A331F">
        <w:trPr>
          <w:trHeight w:val="653"/>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 xml:space="preserve">Peg-interferon </w:t>
            </w:r>
          </w:p>
          <w:p w:rsidR="004A331F" w:rsidRPr="00F7606D" w:rsidRDefault="004A331F" w:rsidP="004A331F">
            <w:pPr>
              <w:pStyle w:val="Tabelltekst"/>
              <w:rPr>
                <w:b/>
                <w:szCs w:val="22"/>
                <w:lang w:val="en-GB"/>
              </w:rPr>
            </w:pPr>
            <w:r w:rsidRPr="00F7606D">
              <w:rPr>
                <w:b/>
                <w:szCs w:val="22"/>
                <w:lang w:val="en-GB"/>
              </w:rPr>
              <w:t>beta-1a (Plegridy)</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7716</w:t>
            </w:r>
          </w:p>
          <w:p w:rsidR="004A331F" w:rsidRPr="00F7606D" w:rsidRDefault="004A331F" w:rsidP="004A331F">
            <w:pPr>
              <w:jc w:val="center"/>
              <w:rPr>
                <w:rFonts w:ascii="Arial Narrow" w:hAnsi="Arial Narrow"/>
                <w:lang w:val="en-GB"/>
              </w:rPr>
            </w:pPr>
            <w:r w:rsidRPr="00F7606D">
              <w:rPr>
                <w:rFonts w:ascii="Arial Narrow" w:hAnsi="Arial Narrow"/>
                <w:lang w:val="en-GB"/>
              </w:rPr>
              <w:t>(2/year)</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7350 (4/year)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 (1/year)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1600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19,266</w:t>
            </w:r>
          </w:p>
        </w:tc>
      </w:tr>
      <w:tr w:rsidR="004A331F" w:rsidRPr="00F7606D" w:rsidTr="004A331F">
        <w:trPr>
          <w:trHeight w:val="653"/>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Teriflunomide (Aubagio)</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7350 (4/year)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 (1/year)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1344 </w:t>
            </w:r>
            <w:r w:rsidRPr="00F7606D">
              <w:rPr>
                <w:rFonts w:ascii="Arial Narrow" w:hAnsi="Arial Narrow"/>
                <w:vertAlign w:val="superscript"/>
                <w:lang w:val="en-GB"/>
              </w:rPr>
              <w:t>d</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1600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12,894</w:t>
            </w:r>
          </w:p>
        </w:tc>
      </w:tr>
    </w:tbl>
    <w:p w:rsidR="004A331F" w:rsidRPr="00F7606D" w:rsidRDefault="004A331F" w:rsidP="004A331F">
      <w:pPr>
        <w:ind w:left="360"/>
      </w:pPr>
      <w:r w:rsidRPr="00F7606D">
        <w:rPr>
          <w:vertAlign w:val="superscript"/>
        </w:rPr>
        <w:t>a</w:t>
      </w:r>
      <w:r w:rsidRPr="00F7606D">
        <w:t xml:space="preserve"> Analyses, MR, medical consultations and infusions will be done at the same day.</w:t>
      </w:r>
      <w:r w:rsidR="002B71CE">
        <w:t xml:space="preserve"> </w:t>
      </w:r>
      <w:r w:rsidRPr="00F7606D">
        <w:rPr>
          <w:vertAlign w:val="superscript"/>
        </w:rPr>
        <w:t>b</w:t>
      </w:r>
      <w:r w:rsidRPr="00F7606D">
        <w:t xml:space="preserve"> Analyses, MR,  and medical consultations will be done at the same day (4/year).</w:t>
      </w:r>
      <w:r w:rsidRPr="00F7606D">
        <w:rPr>
          <w:vertAlign w:val="superscript"/>
        </w:rPr>
        <w:t xml:space="preserve">c </w:t>
      </w:r>
      <w:r w:rsidRPr="00F7606D">
        <w:t>6 hours observation</w:t>
      </w:r>
      <w:r w:rsidR="002B71CE">
        <w:t xml:space="preserve"> </w:t>
      </w:r>
      <w:r w:rsidRPr="00F7606D">
        <w:rPr>
          <w:vertAlign w:val="superscript"/>
        </w:rPr>
        <w:t xml:space="preserve">d  </w:t>
      </w:r>
      <w:r w:rsidRPr="00F7606D">
        <w:t>Every 14 days for 6 months, then every other month (numbers of medical consultations were deducted)</w:t>
      </w:r>
    </w:p>
    <w:p w:rsidR="004A331F" w:rsidRPr="00F7606D" w:rsidRDefault="004A331F" w:rsidP="004A331F">
      <w:pPr>
        <w:pStyle w:val="IntroHeadingCnoTOC"/>
        <w:rPr>
          <w:lang w:val="en-GB"/>
        </w:rPr>
      </w:pPr>
    </w:p>
    <w:p w:rsidR="004A331F" w:rsidRPr="000D044E" w:rsidRDefault="000D044E" w:rsidP="000D044E">
      <w:pPr>
        <w:pStyle w:val="Figuretext"/>
        <w:rPr>
          <w:szCs w:val="20"/>
        </w:rPr>
      </w:pPr>
      <w:r w:rsidRPr="000D044E">
        <w:rPr>
          <w:b/>
          <w:szCs w:val="20"/>
        </w:rPr>
        <w:t>Table 6</w:t>
      </w:r>
      <w:r w:rsidR="004A331F" w:rsidRPr="000D044E">
        <w:rPr>
          <w:b/>
          <w:szCs w:val="20"/>
        </w:rPr>
        <w:t>.</w:t>
      </w:r>
      <w:r w:rsidR="004B5285" w:rsidRPr="000D044E">
        <w:rPr>
          <w:b/>
          <w:szCs w:val="20"/>
        </w:rPr>
        <w:t>3</w:t>
      </w:r>
      <w:r w:rsidR="00C92EA7" w:rsidRPr="000D044E">
        <w:rPr>
          <w:b/>
          <w:szCs w:val="20"/>
        </w:rPr>
        <w:t>.</w:t>
      </w:r>
      <w:r w:rsidR="004A331F" w:rsidRPr="000D044E">
        <w:rPr>
          <w:szCs w:val="20"/>
        </w:rPr>
        <w:t xml:space="preserve"> Monitoring costs associated with each of the treatments (2. year)</w:t>
      </w:r>
    </w:p>
    <w:p w:rsidR="004A331F" w:rsidRPr="000D044E" w:rsidRDefault="004A331F" w:rsidP="000D044E">
      <w:pPr>
        <w:pStyle w:val="Figuretext"/>
        <w:rPr>
          <w:szCs w:val="20"/>
        </w:rPr>
      </w:pPr>
    </w:p>
    <w:tbl>
      <w:tblPr>
        <w:tblStyle w:val="afff"/>
        <w:tblW w:w="13298" w:type="dxa"/>
        <w:tblLayout w:type="fixed"/>
        <w:tblLook w:val="04A0"/>
      </w:tblPr>
      <w:tblGrid>
        <w:gridCol w:w="1696"/>
        <w:gridCol w:w="1560"/>
        <w:gridCol w:w="1559"/>
        <w:gridCol w:w="1417"/>
        <w:gridCol w:w="1276"/>
        <w:gridCol w:w="1158"/>
        <w:gridCol w:w="1158"/>
        <w:gridCol w:w="1158"/>
        <w:gridCol w:w="1158"/>
        <w:gridCol w:w="1158"/>
      </w:tblGrid>
      <w:tr w:rsidR="004A331F" w:rsidRPr="00F7606D" w:rsidTr="0075275D">
        <w:trPr>
          <w:trHeight w:val="1272"/>
        </w:trPr>
        <w:tc>
          <w:tcPr>
            <w:tcW w:w="1696" w:type="dxa"/>
            <w:shd w:val="clear" w:color="auto" w:fill="D9D9D9" w:themeFill="background1" w:themeFillShade="D9"/>
            <w:vAlign w:val="center"/>
            <w:hideMark/>
          </w:tcPr>
          <w:p w:rsidR="004A331F" w:rsidRPr="00F7606D" w:rsidRDefault="004A331F" w:rsidP="004A331F">
            <w:pPr>
              <w:rPr>
                <w:rFonts w:ascii="Arial Narrow" w:hAnsi="Arial Narrow"/>
                <w:b/>
                <w:szCs w:val="22"/>
                <w:lang w:val="en-GB"/>
              </w:rPr>
            </w:pPr>
            <w:r w:rsidRPr="00F7606D">
              <w:rPr>
                <w:rFonts w:ascii="Arial Narrow" w:hAnsi="Arial Narrow"/>
                <w:b/>
                <w:szCs w:val="22"/>
                <w:lang w:val="en-GB"/>
              </w:rPr>
              <w:t>Drug</w:t>
            </w:r>
          </w:p>
        </w:tc>
        <w:tc>
          <w:tcPr>
            <w:tcW w:w="1560" w:type="dxa"/>
            <w:shd w:val="clear" w:color="auto" w:fill="D9D9D9" w:themeFill="background1" w:themeFillShade="D9"/>
            <w:vAlign w:val="center"/>
          </w:tcPr>
          <w:p w:rsidR="004A331F" w:rsidRPr="00F7606D" w:rsidRDefault="004A331F" w:rsidP="004A331F">
            <w:pPr>
              <w:jc w:val="center"/>
              <w:rPr>
                <w:rFonts w:ascii="Arial Narrow" w:hAnsi="Arial Narrow"/>
                <w:b/>
                <w:szCs w:val="22"/>
                <w:lang w:val="en-GB"/>
              </w:rPr>
            </w:pPr>
            <w:r w:rsidRPr="00F7606D">
              <w:rPr>
                <w:rFonts w:ascii="Arial Narrow" w:hAnsi="Arial Narrow"/>
                <w:b/>
                <w:szCs w:val="22"/>
                <w:lang w:val="en-GB"/>
              </w:rPr>
              <w:t>NAB-analyses</w:t>
            </w:r>
          </w:p>
        </w:tc>
        <w:tc>
          <w:tcPr>
            <w:tcW w:w="1559" w:type="dxa"/>
            <w:shd w:val="clear" w:color="auto" w:fill="D9D9D9" w:themeFill="background1" w:themeFillShade="D9"/>
            <w:vAlign w:val="center"/>
          </w:tcPr>
          <w:p w:rsidR="004A331F" w:rsidRPr="00F7606D" w:rsidRDefault="004A331F" w:rsidP="004A331F">
            <w:pPr>
              <w:jc w:val="center"/>
              <w:rPr>
                <w:rFonts w:ascii="Arial Narrow" w:hAnsi="Arial Narrow"/>
                <w:b/>
                <w:szCs w:val="22"/>
                <w:lang w:val="en-GB"/>
              </w:rPr>
            </w:pPr>
            <w:r w:rsidRPr="00F7606D">
              <w:rPr>
                <w:rFonts w:ascii="Arial Narrow" w:hAnsi="Arial Narrow"/>
                <w:b/>
                <w:szCs w:val="22"/>
                <w:lang w:val="en-GB"/>
              </w:rPr>
              <w:t>Infusion costs</w:t>
            </w:r>
          </w:p>
        </w:tc>
        <w:tc>
          <w:tcPr>
            <w:tcW w:w="1417" w:type="dxa"/>
            <w:shd w:val="clear" w:color="auto" w:fill="D9D9D9" w:themeFill="background1" w:themeFillShade="D9"/>
            <w:vAlign w:val="center"/>
          </w:tcPr>
          <w:p w:rsidR="004A331F" w:rsidRPr="00F7606D" w:rsidRDefault="004A331F" w:rsidP="004A331F">
            <w:pPr>
              <w:jc w:val="center"/>
              <w:rPr>
                <w:rFonts w:ascii="Arial Narrow" w:hAnsi="Arial Narrow"/>
                <w:b/>
                <w:szCs w:val="22"/>
                <w:lang w:val="en-GB"/>
              </w:rPr>
            </w:pPr>
            <w:r w:rsidRPr="00F7606D">
              <w:rPr>
                <w:rFonts w:ascii="Arial Narrow" w:hAnsi="Arial Narrow"/>
                <w:b/>
                <w:szCs w:val="22"/>
                <w:lang w:val="en-GB"/>
              </w:rPr>
              <w:t>Eye examinations</w:t>
            </w:r>
          </w:p>
        </w:tc>
        <w:tc>
          <w:tcPr>
            <w:tcW w:w="1276" w:type="dxa"/>
            <w:shd w:val="clear" w:color="auto" w:fill="D9D9D9" w:themeFill="background1" w:themeFillShade="D9"/>
            <w:vAlign w:val="center"/>
          </w:tcPr>
          <w:p w:rsidR="004A331F" w:rsidRPr="00F7606D" w:rsidRDefault="004A331F" w:rsidP="004A331F">
            <w:pPr>
              <w:jc w:val="center"/>
              <w:rPr>
                <w:rFonts w:ascii="Arial Narrow" w:hAnsi="Arial Narrow"/>
                <w:b/>
                <w:szCs w:val="22"/>
                <w:lang w:val="en-GB"/>
              </w:rPr>
            </w:pPr>
            <w:r w:rsidRPr="00F7606D">
              <w:rPr>
                <w:rFonts w:ascii="Arial Narrow" w:hAnsi="Arial Narrow"/>
                <w:b/>
                <w:szCs w:val="22"/>
                <w:lang w:val="en-GB"/>
              </w:rPr>
              <w:t>Startup costs</w:t>
            </w:r>
          </w:p>
        </w:tc>
        <w:tc>
          <w:tcPr>
            <w:tcW w:w="1158" w:type="dxa"/>
            <w:shd w:val="clear" w:color="auto" w:fill="D9D9D9" w:themeFill="background1" w:themeFillShade="D9"/>
            <w:vAlign w:val="center"/>
          </w:tcPr>
          <w:p w:rsidR="004A331F" w:rsidRPr="00F7606D" w:rsidRDefault="004A331F" w:rsidP="004A331F">
            <w:pPr>
              <w:jc w:val="center"/>
              <w:rPr>
                <w:rFonts w:ascii="Arial Narrow" w:hAnsi="Arial Narrow"/>
                <w:b/>
                <w:szCs w:val="22"/>
                <w:lang w:val="en-GB"/>
              </w:rPr>
            </w:pPr>
            <w:r w:rsidRPr="00F7606D">
              <w:rPr>
                <w:rFonts w:ascii="Arial Narrow" w:hAnsi="Arial Narrow"/>
                <w:b/>
                <w:szCs w:val="22"/>
                <w:lang w:val="en-GB"/>
              </w:rPr>
              <w:t>Medical consultations</w:t>
            </w:r>
          </w:p>
        </w:tc>
        <w:tc>
          <w:tcPr>
            <w:tcW w:w="1158" w:type="dxa"/>
            <w:shd w:val="clear" w:color="auto" w:fill="D9D9D9" w:themeFill="background1" w:themeFillShade="D9"/>
            <w:vAlign w:val="center"/>
          </w:tcPr>
          <w:p w:rsidR="004A331F" w:rsidRPr="00F7606D" w:rsidRDefault="004A331F" w:rsidP="004A331F">
            <w:pPr>
              <w:jc w:val="center"/>
              <w:rPr>
                <w:rFonts w:ascii="Arial Narrow" w:hAnsi="Arial Narrow"/>
                <w:b/>
                <w:szCs w:val="22"/>
                <w:lang w:val="en-GB"/>
              </w:rPr>
            </w:pPr>
            <w:r w:rsidRPr="00F7606D">
              <w:rPr>
                <w:rFonts w:ascii="Arial Narrow" w:hAnsi="Arial Narrow"/>
                <w:b/>
                <w:szCs w:val="22"/>
                <w:lang w:val="en-GB"/>
              </w:rPr>
              <w:t>MRI</w:t>
            </w:r>
          </w:p>
        </w:tc>
        <w:tc>
          <w:tcPr>
            <w:tcW w:w="1158" w:type="dxa"/>
            <w:shd w:val="clear" w:color="auto" w:fill="D9D9D9" w:themeFill="background1" w:themeFillShade="D9"/>
            <w:vAlign w:val="center"/>
          </w:tcPr>
          <w:p w:rsidR="004A331F" w:rsidRPr="00F7606D" w:rsidRDefault="004A331F" w:rsidP="004A331F">
            <w:pPr>
              <w:pStyle w:val="Tabelltekst"/>
              <w:jc w:val="center"/>
              <w:rPr>
                <w:b/>
                <w:szCs w:val="22"/>
                <w:lang w:val="en-GB"/>
              </w:rPr>
            </w:pPr>
            <w:r w:rsidRPr="00F7606D">
              <w:rPr>
                <w:b/>
                <w:szCs w:val="22"/>
                <w:lang w:val="en-GB"/>
              </w:rPr>
              <w:t>Blood tests</w:t>
            </w:r>
          </w:p>
          <w:p w:rsidR="004A331F" w:rsidRPr="00F7606D" w:rsidRDefault="004A331F" w:rsidP="004A331F">
            <w:pPr>
              <w:pStyle w:val="Tabelltekst"/>
              <w:jc w:val="center"/>
              <w:rPr>
                <w:b/>
                <w:szCs w:val="22"/>
                <w:lang w:val="en-GB"/>
              </w:rPr>
            </w:pPr>
            <w:r w:rsidRPr="00F7606D">
              <w:rPr>
                <w:b/>
                <w:szCs w:val="22"/>
                <w:lang w:val="en-GB"/>
              </w:rPr>
              <w:t>(outpatient visits)</w:t>
            </w:r>
          </w:p>
        </w:tc>
        <w:tc>
          <w:tcPr>
            <w:tcW w:w="1158" w:type="dxa"/>
            <w:shd w:val="clear" w:color="auto" w:fill="D9D9D9" w:themeFill="background1" w:themeFillShade="D9"/>
            <w:vAlign w:val="center"/>
          </w:tcPr>
          <w:p w:rsidR="004A331F" w:rsidRPr="00F7606D" w:rsidRDefault="004A331F" w:rsidP="004A331F">
            <w:pPr>
              <w:pStyle w:val="Tabelltekst"/>
              <w:jc w:val="center"/>
              <w:rPr>
                <w:b/>
                <w:szCs w:val="22"/>
                <w:lang w:val="en-GB"/>
              </w:rPr>
            </w:pPr>
            <w:r w:rsidRPr="00F7606D">
              <w:rPr>
                <w:b/>
                <w:szCs w:val="22"/>
                <w:lang w:val="en-GB"/>
              </w:rPr>
              <w:t>Travel costs</w:t>
            </w:r>
            <w:r w:rsidRPr="00F7606D">
              <w:rPr>
                <w:b/>
                <w:szCs w:val="22"/>
                <w:vertAlign w:val="superscript"/>
                <w:lang w:val="en-GB"/>
              </w:rPr>
              <w:t xml:space="preserve"> </w:t>
            </w:r>
          </w:p>
        </w:tc>
        <w:tc>
          <w:tcPr>
            <w:tcW w:w="1158" w:type="dxa"/>
            <w:shd w:val="clear" w:color="auto" w:fill="D9D9D9" w:themeFill="background1" w:themeFillShade="D9"/>
            <w:vAlign w:val="center"/>
          </w:tcPr>
          <w:p w:rsidR="004A331F" w:rsidRPr="00F7606D" w:rsidRDefault="004A331F" w:rsidP="004A331F">
            <w:pPr>
              <w:pStyle w:val="Tabelltekst"/>
              <w:jc w:val="center"/>
              <w:rPr>
                <w:rFonts w:asciiTheme="minorHAnsi" w:hAnsiTheme="minorHAnsi"/>
                <w:b/>
                <w:szCs w:val="20"/>
                <w:lang w:val="en-GB"/>
              </w:rPr>
            </w:pPr>
            <w:r w:rsidRPr="00F7606D">
              <w:rPr>
                <w:rFonts w:asciiTheme="minorHAnsi" w:hAnsiTheme="minorHAnsi"/>
                <w:b/>
                <w:szCs w:val="20"/>
                <w:lang w:val="en-GB"/>
              </w:rPr>
              <w:t>Total</w:t>
            </w:r>
          </w:p>
        </w:tc>
      </w:tr>
      <w:tr w:rsidR="004A331F" w:rsidRPr="00F7606D" w:rsidTr="004A331F">
        <w:trPr>
          <w:trHeight w:val="973"/>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Alemtuzumab (Lemtrada)</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5866</w:t>
            </w:r>
          </w:p>
          <w:p w:rsidR="004A331F" w:rsidRPr="00F7606D" w:rsidRDefault="004A331F" w:rsidP="004A331F">
            <w:pPr>
              <w:jc w:val="center"/>
              <w:rPr>
                <w:rFonts w:ascii="Arial Narrow" w:hAnsi="Arial Narrow"/>
                <w:lang w:val="en-GB"/>
              </w:rPr>
            </w:pPr>
            <w:r w:rsidRPr="00F7606D">
              <w:rPr>
                <w:rFonts w:ascii="Arial Narrow" w:hAnsi="Arial Narrow"/>
                <w:lang w:val="en-GB"/>
              </w:rPr>
              <w:t>(3/year)</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 (2/year)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w:t>
            </w:r>
          </w:p>
          <w:p w:rsidR="004A331F" w:rsidRPr="00F7606D" w:rsidRDefault="004A331F" w:rsidP="004A331F">
            <w:pPr>
              <w:jc w:val="center"/>
              <w:rPr>
                <w:rFonts w:ascii="Arial Narrow" w:hAnsi="Arial Narrow"/>
                <w:lang w:val="en-GB"/>
              </w:rPr>
            </w:pPr>
            <w:r w:rsidRPr="00F7606D">
              <w:rPr>
                <w:rFonts w:ascii="Arial Narrow" w:hAnsi="Arial Narrow"/>
                <w:lang w:val="en-GB"/>
              </w:rPr>
              <w:t>(1/year)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1232</w:t>
            </w:r>
          </w:p>
          <w:p w:rsidR="004A331F" w:rsidRPr="00F7606D" w:rsidRDefault="004A331F" w:rsidP="004A331F">
            <w:pPr>
              <w:jc w:val="center"/>
              <w:rPr>
                <w:rFonts w:ascii="Arial Narrow" w:hAnsi="Arial Narrow"/>
                <w:lang w:val="en-GB"/>
              </w:rPr>
            </w:pPr>
            <w:r w:rsidRPr="00F7606D">
              <w:rPr>
                <w:rFonts w:ascii="Arial Narrow" w:hAnsi="Arial Narrow"/>
                <w:lang w:val="en-GB"/>
              </w:rPr>
              <w:t>(11/year)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1200</w:t>
            </w:r>
            <w:r w:rsidRPr="00F7606D">
              <w:rPr>
                <w:b/>
                <w:szCs w:val="22"/>
                <w:vertAlign w:val="superscript"/>
                <w:lang w:val="en-GB"/>
              </w:rPr>
              <w:t xml:space="preserve"> a</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14,573</w:t>
            </w:r>
          </w:p>
        </w:tc>
      </w:tr>
      <w:tr w:rsidR="004A331F" w:rsidRPr="00F7606D" w:rsidTr="004A331F">
        <w:trPr>
          <w:trHeight w:val="974"/>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Dimethyl fumarate (Tecifidera)</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 (2/year)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w:t>
            </w:r>
          </w:p>
          <w:p w:rsidR="004A331F" w:rsidRPr="00F7606D" w:rsidRDefault="004A331F" w:rsidP="004A331F">
            <w:pPr>
              <w:jc w:val="center"/>
              <w:rPr>
                <w:rFonts w:ascii="Arial Narrow" w:hAnsi="Arial Narrow"/>
                <w:lang w:val="en-GB"/>
              </w:rPr>
            </w:pPr>
            <w:r w:rsidRPr="00F7606D">
              <w:rPr>
                <w:rFonts w:ascii="Arial Narrow" w:hAnsi="Arial Narrow"/>
                <w:lang w:val="en-GB"/>
              </w:rPr>
              <w:t>(1/year)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800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7075</w:t>
            </w:r>
          </w:p>
        </w:tc>
      </w:tr>
      <w:tr w:rsidR="004A331F" w:rsidRPr="00F7606D" w:rsidTr="004A331F">
        <w:trPr>
          <w:trHeight w:val="924"/>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Fingolimod  (Gilenya)</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 (2/year)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w:t>
            </w:r>
          </w:p>
          <w:p w:rsidR="004A331F" w:rsidRPr="00F7606D" w:rsidRDefault="004A331F" w:rsidP="004A331F">
            <w:pPr>
              <w:jc w:val="center"/>
              <w:rPr>
                <w:rFonts w:ascii="Arial Narrow" w:hAnsi="Arial Narrow"/>
                <w:lang w:val="en-GB"/>
              </w:rPr>
            </w:pPr>
            <w:r w:rsidRPr="00F7606D">
              <w:rPr>
                <w:rFonts w:ascii="Arial Narrow" w:hAnsi="Arial Narrow"/>
                <w:lang w:val="en-GB"/>
              </w:rPr>
              <w:t>(1/year)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800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7075</w:t>
            </w:r>
          </w:p>
        </w:tc>
      </w:tr>
      <w:tr w:rsidR="004A331F" w:rsidRPr="00F7606D" w:rsidTr="004A331F">
        <w:trPr>
          <w:trHeight w:val="852"/>
        </w:trPr>
        <w:tc>
          <w:tcPr>
            <w:tcW w:w="1696" w:type="dxa"/>
            <w:noWrap/>
            <w:vAlign w:val="center"/>
          </w:tcPr>
          <w:p w:rsidR="004A331F" w:rsidRPr="00F7606D" w:rsidRDefault="004A331F" w:rsidP="004A331F">
            <w:pPr>
              <w:rPr>
                <w:rFonts w:ascii="Arial Narrow" w:hAnsi="Arial Narrow"/>
                <w:b/>
                <w:szCs w:val="22"/>
                <w:lang w:val="en-GB"/>
              </w:rPr>
            </w:pPr>
            <w:r w:rsidRPr="00F7606D">
              <w:rPr>
                <w:rFonts w:ascii="Arial Narrow" w:hAnsi="Arial Narrow"/>
                <w:b/>
                <w:szCs w:val="22"/>
                <w:lang w:val="en-GB"/>
              </w:rPr>
              <w:t xml:space="preserve">Glatiramer  </w:t>
            </w:r>
          </w:p>
          <w:p w:rsidR="004A331F" w:rsidRPr="00F7606D" w:rsidRDefault="004A331F" w:rsidP="004A331F">
            <w:pPr>
              <w:rPr>
                <w:rFonts w:ascii="Arial Narrow" w:hAnsi="Arial Narrow"/>
                <w:b/>
                <w:szCs w:val="22"/>
                <w:lang w:val="en-GB"/>
              </w:rPr>
            </w:pPr>
            <w:r w:rsidRPr="00F7606D">
              <w:rPr>
                <w:rFonts w:ascii="Arial Narrow" w:hAnsi="Arial Narrow"/>
                <w:b/>
                <w:szCs w:val="22"/>
                <w:lang w:val="en-GB"/>
              </w:rPr>
              <w:t>acetate</w:t>
            </w:r>
          </w:p>
          <w:p w:rsidR="004A331F" w:rsidRPr="00F7606D" w:rsidRDefault="004A331F" w:rsidP="004A331F">
            <w:pPr>
              <w:pStyle w:val="Tabelltekst"/>
              <w:rPr>
                <w:b/>
                <w:szCs w:val="22"/>
                <w:lang w:val="en-GB"/>
              </w:rPr>
            </w:pPr>
            <w:r w:rsidRPr="00F7606D">
              <w:rPr>
                <w:b/>
                <w:szCs w:val="22"/>
                <w:lang w:val="en-GB"/>
              </w:rPr>
              <w:t>(Copaxone)</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w:t>
            </w:r>
          </w:p>
          <w:p w:rsidR="004A331F" w:rsidRPr="00F7606D" w:rsidRDefault="004A331F" w:rsidP="004A331F">
            <w:pPr>
              <w:jc w:val="center"/>
              <w:rPr>
                <w:rFonts w:ascii="Arial Narrow" w:hAnsi="Arial Narrow"/>
                <w:lang w:val="en-GB"/>
              </w:rPr>
            </w:pPr>
            <w:r w:rsidRPr="00F7606D">
              <w:rPr>
                <w:rFonts w:ascii="Arial Narrow" w:hAnsi="Arial Narrow"/>
                <w:lang w:val="en-GB"/>
              </w:rPr>
              <w:t>(2/year)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w:t>
            </w:r>
          </w:p>
          <w:p w:rsidR="004A331F" w:rsidRPr="00F7606D" w:rsidRDefault="004A331F" w:rsidP="004A331F">
            <w:pPr>
              <w:jc w:val="center"/>
              <w:rPr>
                <w:rFonts w:ascii="Arial Narrow" w:hAnsi="Arial Narrow"/>
                <w:lang w:val="en-GB"/>
              </w:rPr>
            </w:pPr>
            <w:r w:rsidRPr="00F7606D">
              <w:rPr>
                <w:rFonts w:ascii="Arial Narrow" w:hAnsi="Arial Narrow"/>
                <w:lang w:val="en-GB"/>
              </w:rPr>
              <w:t>(1/year)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800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7075</w:t>
            </w:r>
          </w:p>
        </w:tc>
      </w:tr>
      <w:tr w:rsidR="004A331F" w:rsidRPr="00F7606D" w:rsidTr="004A331F">
        <w:trPr>
          <w:trHeight w:val="717"/>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Interferon beta-1a (Avonex)</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7716</w:t>
            </w:r>
          </w:p>
          <w:p w:rsidR="004A331F" w:rsidRPr="00F7606D" w:rsidRDefault="004A331F" w:rsidP="004A331F">
            <w:pPr>
              <w:jc w:val="center"/>
              <w:rPr>
                <w:rFonts w:ascii="Arial Narrow" w:hAnsi="Arial Narrow"/>
                <w:lang w:val="en-GB"/>
              </w:rPr>
            </w:pPr>
            <w:r w:rsidRPr="00F7606D">
              <w:rPr>
                <w:rFonts w:ascii="Arial Narrow" w:hAnsi="Arial Narrow"/>
                <w:lang w:val="en-GB"/>
              </w:rPr>
              <w:t>(2/year)</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 (2/year)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 (1/year)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800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14,791</w:t>
            </w:r>
          </w:p>
        </w:tc>
      </w:tr>
      <w:tr w:rsidR="004A331F" w:rsidRPr="00F7606D" w:rsidTr="004A331F">
        <w:trPr>
          <w:trHeight w:val="653"/>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Interferon beta-1a 44 mcg (Rebif)</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7716</w:t>
            </w:r>
          </w:p>
          <w:p w:rsidR="004A331F" w:rsidRPr="00F7606D" w:rsidRDefault="004A331F" w:rsidP="004A331F">
            <w:pPr>
              <w:jc w:val="center"/>
              <w:rPr>
                <w:rFonts w:ascii="Arial Narrow" w:hAnsi="Arial Narrow"/>
                <w:lang w:val="en-GB"/>
              </w:rPr>
            </w:pPr>
            <w:r w:rsidRPr="00F7606D">
              <w:rPr>
                <w:rFonts w:ascii="Arial Narrow" w:hAnsi="Arial Narrow"/>
                <w:lang w:val="en-GB"/>
              </w:rPr>
              <w:t>(2/year)</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w:t>
            </w:r>
          </w:p>
          <w:p w:rsidR="004A331F" w:rsidRPr="00F7606D" w:rsidRDefault="004A331F" w:rsidP="004A331F">
            <w:pPr>
              <w:jc w:val="center"/>
              <w:rPr>
                <w:rFonts w:ascii="Arial Narrow" w:hAnsi="Arial Narrow"/>
                <w:lang w:val="en-GB"/>
              </w:rPr>
            </w:pPr>
            <w:r w:rsidRPr="00F7606D">
              <w:rPr>
                <w:rFonts w:ascii="Arial Narrow" w:hAnsi="Arial Narrow"/>
                <w:lang w:val="en-GB"/>
              </w:rPr>
              <w:t>(2/year)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 (1/year)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800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14,791</w:t>
            </w:r>
          </w:p>
        </w:tc>
      </w:tr>
      <w:tr w:rsidR="004A331F" w:rsidRPr="00F7606D" w:rsidTr="004A331F">
        <w:trPr>
          <w:trHeight w:val="653"/>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Interferon beta-1a 22 mcg (Rebif)</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7716</w:t>
            </w:r>
          </w:p>
          <w:p w:rsidR="004A331F" w:rsidRPr="00F7606D" w:rsidRDefault="004A331F" w:rsidP="004A331F">
            <w:pPr>
              <w:jc w:val="center"/>
              <w:rPr>
                <w:rFonts w:ascii="Arial Narrow" w:hAnsi="Arial Narrow"/>
                <w:lang w:val="en-GB"/>
              </w:rPr>
            </w:pPr>
            <w:r w:rsidRPr="00F7606D">
              <w:rPr>
                <w:rFonts w:ascii="Arial Narrow" w:hAnsi="Arial Narrow"/>
                <w:lang w:val="en-GB"/>
              </w:rPr>
              <w:t>(2/year)</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 (2/year)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 (1/year)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800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14,791</w:t>
            </w:r>
          </w:p>
        </w:tc>
      </w:tr>
      <w:tr w:rsidR="004A331F" w:rsidRPr="00F7606D" w:rsidTr="004A331F">
        <w:trPr>
          <w:trHeight w:val="653"/>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Interferon beta-1b (Betaferon)</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7716</w:t>
            </w:r>
          </w:p>
          <w:p w:rsidR="004A331F" w:rsidRPr="00F7606D" w:rsidRDefault="004A331F" w:rsidP="004A331F">
            <w:pPr>
              <w:jc w:val="center"/>
              <w:rPr>
                <w:rFonts w:ascii="Arial Narrow" w:hAnsi="Arial Narrow"/>
                <w:lang w:val="en-GB"/>
              </w:rPr>
            </w:pPr>
            <w:r w:rsidRPr="00F7606D">
              <w:rPr>
                <w:rFonts w:ascii="Arial Narrow" w:hAnsi="Arial Narrow"/>
                <w:lang w:val="en-GB"/>
              </w:rPr>
              <w:t>(2/year)</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 (2/year)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 (1/year)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800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14,791</w:t>
            </w:r>
          </w:p>
        </w:tc>
      </w:tr>
      <w:tr w:rsidR="004A331F" w:rsidRPr="00F7606D" w:rsidTr="004A331F">
        <w:trPr>
          <w:trHeight w:val="653"/>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Interferon beta-1b (Extavia)</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7716</w:t>
            </w:r>
          </w:p>
          <w:p w:rsidR="004A331F" w:rsidRPr="00F7606D" w:rsidRDefault="004A331F" w:rsidP="004A331F">
            <w:pPr>
              <w:jc w:val="center"/>
              <w:rPr>
                <w:rFonts w:ascii="Arial Narrow" w:hAnsi="Arial Narrow"/>
                <w:lang w:val="en-GB"/>
              </w:rPr>
            </w:pPr>
            <w:r w:rsidRPr="00F7606D">
              <w:rPr>
                <w:rFonts w:ascii="Arial Narrow" w:hAnsi="Arial Narrow"/>
                <w:lang w:val="en-GB"/>
              </w:rPr>
              <w:t>(2/year)</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 (2/year)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 (1/year)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800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14,791</w:t>
            </w:r>
          </w:p>
        </w:tc>
      </w:tr>
      <w:tr w:rsidR="004A331F" w:rsidRPr="00F7606D" w:rsidTr="004A331F">
        <w:trPr>
          <w:trHeight w:val="295"/>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Natalizumab (Tysabri)</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16,250</w:t>
            </w:r>
          </w:p>
          <w:p w:rsidR="004A331F" w:rsidRPr="00F7606D" w:rsidRDefault="004A331F" w:rsidP="004A331F">
            <w:pPr>
              <w:jc w:val="center"/>
              <w:rPr>
                <w:rFonts w:ascii="Arial Narrow" w:hAnsi="Arial Narrow"/>
                <w:lang w:val="en-GB"/>
              </w:rPr>
            </w:pPr>
            <w:r w:rsidRPr="00F7606D">
              <w:rPr>
                <w:rFonts w:ascii="Arial Narrow" w:hAnsi="Arial Narrow"/>
                <w:lang w:val="en-GB"/>
              </w:rPr>
              <w:t>(13/year)</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 (2/year)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w:t>
            </w:r>
          </w:p>
          <w:p w:rsidR="004A331F" w:rsidRPr="00F7606D" w:rsidRDefault="004A331F" w:rsidP="004A331F">
            <w:pPr>
              <w:jc w:val="center"/>
              <w:rPr>
                <w:rFonts w:ascii="Arial Narrow" w:hAnsi="Arial Narrow"/>
                <w:lang w:val="en-GB"/>
              </w:rPr>
            </w:pPr>
            <w:r w:rsidRPr="00F7606D">
              <w:rPr>
                <w:rFonts w:ascii="Arial Narrow" w:hAnsi="Arial Narrow"/>
                <w:lang w:val="en-GB"/>
              </w:rPr>
              <w:t>(1/year)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5200 </w:t>
            </w:r>
            <w:r w:rsidRPr="00F7606D">
              <w:rPr>
                <w:rFonts w:ascii="Arial Narrow" w:hAnsi="Arial Narrow"/>
                <w:vertAlign w:val="superscript"/>
                <w:lang w:val="en-GB"/>
              </w:rPr>
              <w:t>a</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27,725</w:t>
            </w:r>
          </w:p>
        </w:tc>
      </w:tr>
      <w:tr w:rsidR="004A331F" w:rsidRPr="00F7606D" w:rsidTr="004A331F">
        <w:trPr>
          <w:trHeight w:val="653"/>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 xml:space="preserve">Peg-interferon </w:t>
            </w:r>
          </w:p>
          <w:p w:rsidR="004A331F" w:rsidRPr="00F7606D" w:rsidRDefault="004A331F" w:rsidP="004A331F">
            <w:pPr>
              <w:pStyle w:val="Tabelltekst"/>
              <w:rPr>
                <w:b/>
                <w:szCs w:val="22"/>
                <w:lang w:val="en-GB"/>
              </w:rPr>
            </w:pPr>
            <w:r w:rsidRPr="00F7606D">
              <w:rPr>
                <w:b/>
                <w:szCs w:val="22"/>
                <w:lang w:val="en-GB"/>
              </w:rPr>
              <w:t>beta-1a (Plegridy)</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7716</w:t>
            </w:r>
          </w:p>
          <w:p w:rsidR="004A331F" w:rsidRPr="00F7606D" w:rsidRDefault="004A331F" w:rsidP="004A331F">
            <w:pPr>
              <w:jc w:val="center"/>
              <w:rPr>
                <w:rFonts w:ascii="Arial Narrow" w:hAnsi="Arial Narrow"/>
                <w:lang w:val="en-GB"/>
              </w:rPr>
            </w:pPr>
            <w:r w:rsidRPr="00F7606D">
              <w:rPr>
                <w:rFonts w:ascii="Arial Narrow" w:hAnsi="Arial Narrow"/>
                <w:lang w:val="en-GB"/>
              </w:rPr>
              <w:t>(2/year)</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 (2/year)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 (1/year)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800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14,791</w:t>
            </w:r>
          </w:p>
        </w:tc>
      </w:tr>
      <w:tr w:rsidR="004A331F" w:rsidRPr="00F7606D" w:rsidTr="004A331F">
        <w:trPr>
          <w:trHeight w:val="653"/>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Teriflunomide (Aubagio)</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 (2/year)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 (1/year)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448 </w:t>
            </w:r>
            <w:r w:rsidRPr="00F7606D">
              <w:rPr>
                <w:rFonts w:ascii="Arial Narrow" w:hAnsi="Arial Narrow"/>
                <w:vertAlign w:val="superscript"/>
                <w:lang w:val="en-GB"/>
              </w:rPr>
              <w:t>c</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800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7523</w:t>
            </w:r>
          </w:p>
        </w:tc>
      </w:tr>
    </w:tbl>
    <w:p w:rsidR="004A331F" w:rsidRPr="00F7606D" w:rsidRDefault="004A331F" w:rsidP="004A331F">
      <w:pPr>
        <w:ind w:left="360"/>
      </w:pPr>
      <w:r w:rsidRPr="00F7606D">
        <w:rPr>
          <w:vertAlign w:val="superscript"/>
        </w:rPr>
        <w:t>a</w:t>
      </w:r>
      <w:r w:rsidRPr="00F7606D">
        <w:t xml:space="preserve"> Analyses, MR, medical consultations and infusions will be done at the same day.</w:t>
      </w:r>
      <w:r w:rsidR="00EE0715">
        <w:t xml:space="preserve"> </w:t>
      </w:r>
      <w:r w:rsidRPr="00F7606D">
        <w:rPr>
          <w:vertAlign w:val="superscript"/>
        </w:rPr>
        <w:t>b</w:t>
      </w:r>
      <w:r w:rsidRPr="00F7606D">
        <w:t xml:space="preserve"> Analyses, MR,  and medical consultations will be done at the same day (2/year).</w:t>
      </w:r>
      <w:r w:rsidRPr="00F7606D">
        <w:rPr>
          <w:vertAlign w:val="superscript"/>
        </w:rPr>
        <w:t xml:space="preserve">c </w:t>
      </w:r>
      <w:r w:rsidRPr="00F7606D">
        <w:t>Every other month (numbers of medical consultations were deducted)</w:t>
      </w:r>
    </w:p>
    <w:p w:rsidR="004A331F" w:rsidRPr="00F7606D" w:rsidRDefault="004A331F" w:rsidP="004A331F"/>
    <w:p w:rsidR="004A331F" w:rsidRDefault="004A331F" w:rsidP="004A331F"/>
    <w:p w:rsidR="004B5285" w:rsidRDefault="004B5285" w:rsidP="004A331F"/>
    <w:p w:rsidR="000D044E" w:rsidRPr="00F7606D" w:rsidRDefault="000D044E" w:rsidP="004A331F"/>
    <w:p w:rsidR="004A331F" w:rsidRPr="000D044E" w:rsidRDefault="000D044E" w:rsidP="000D044E">
      <w:pPr>
        <w:pStyle w:val="Figuretext"/>
        <w:rPr>
          <w:b/>
          <w:szCs w:val="20"/>
        </w:rPr>
      </w:pPr>
      <w:r>
        <w:rPr>
          <w:b/>
          <w:szCs w:val="20"/>
        </w:rPr>
        <w:t>Table 6</w:t>
      </w:r>
      <w:r w:rsidR="004A331F" w:rsidRPr="000D044E">
        <w:rPr>
          <w:b/>
          <w:szCs w:val="20"/>
        </w:rPr>
        <w:t>.</w:t>
      </w:r>
      <w:r w:rsidR="004B5285" w:rsidRPr="000D044E">
        <w:rPr>
          <w:b/>
          <w:szCs w:val="20"/>
        </w:rPr>
        <w:t>4</w:t>
      </w:r>
      <w:r w:rsidR="00C92EA7" w:rsidRPr="000D044E">
        <w:rPr>
          <w:b/>
          <w:szCs w:val="20"/>
        </w:rPr>
        <w:t>.</w:t>
      </w:r>
      <w:r w:rsidR="004A331F" w:rsidRPr="000D044E">
        <w:rPr>
          <w:b/>
          <w:szCs w:val="20"/>
        </w:rPr>
        <w:t xml:space="preserve"> </w:t>
      </w:r>
      <w:r w:rsidR="004A331F" w:rsidRPr="000D044E">
        <w:rPr>
          <w:szCs w:val="20"/>
        </w:rPr>
        <w:t>Monitoring costs associated with each of the treatments (beyond 2. year)</w:t>
      </w:r>
    </w:p>
    <w:tbl>
      <w:tblPr>
        <w:tblStyle w:val="afff"/>
        <w:tblW w:w="13298" w:type="dxa"/>
        <w:tblLayout w:type="fixed"/>
        <w:tblLook w:val="04A0"/>
      </w:tblPr>
      <w:tblGrid>
        <w:gridCol w:w="1696"/>
        <w:gridCol w:w="1560"/>
        <w:gridCol w:w="1559"/>
        <w:gridCol w:w="1417"/>
        <w:gridCol w:w="1276"/>
        <w:gridCol w:w="1158"/>
        <w:gridCol w:w="1158"/>
        <w:gridCol w:w="1158"/>
        <w:gridCol w:w="1158"/>
        <w:gridCol w:w="1158"/>
      </w:tblGrid>
      <w:tr w:rsidR="004A331F" w:rsidRPr="00F7606D" w:rsidTr="0075275D">
        <w:trPr>
          <w:trHeight w:val="1272"/>
        </w:trPr>
        <w:tc>
          <w:tcPr>
            <w:tcW w:w="1696" w:type="dxa"/>
            <w:shd w:val="clear" w:color="auto" w:fill="D9D9D9" w:themeFill="background1" w:themeFillShade="D9"/>
            <w:vAlign w:val="center"/>
            <w:hideMark/>
          </w:tcPr>
          <w:p w:rsidR="004A331F" w:rsidRPr="00F7606D" w:rsidRDefault="004A331F" w:rsidP="004A331F">
            <w:pPr>
              <w:rPr>
                <w:rFonts w:ascii="Arial Narrow" w:hAnsi="Arial Narrow"/>
                <w:b/>
                <w:szCs w:val="22"/>
                <w:lang w:val="en-GB"/>
              </w:rPr>
            </w:pPr>
            <w:r w:rsidRPr="00F7606D">
              <w:rPr>
                <w:rFonts w:ascii="Arial Narrow" w:hAnsi="Arial Narrow"/>
                <w:b/>
                <w:szCs w:val="22"/>
                <w:lang w:val="en-GB"/>
              </w:rPr>
              <w:t>Drug</w:t>
            </w:r>
          </w:p>
        </w:tc>
        <w:tc>
          <w:tcPr>
            <w:tcW w:w="1560" w:type="dxa"/>
            <w:shd w:val="clear" w:color="auto" w:fill="D9D9D9" w:themeFill="background1" w:themeFillShade="D9"/>
            <w:vAlign w:val="center"/>
          </w:tcPr>
          <w:p w:rsidR="004A331F" w:rsidRPr="00F7606D" w:rsidRDefault="004A331F" w:rsidP="004A331F">
            <w:pPr>
              <w:jc w:val="center"/>
              <w:rPr>
                <w:rFonts w:ascii="Arial Narrow" w:hAnsi="Arial Narrow"/>
                <w:b/>
                <w:szCs w:val="22"/>
                <w:lang w:val="en-GB"/>
              </w:rPr>
            </w:pPr>
            <w:r w:rsidRPr="00F7606D">
              <w:rPr>
                <w:rFonts w:ascii="Arial Narrow" w:hAnsi="Arial Narrow"/>
                <w:b/>
                <w:szCs w:val="22"/>
                <w:lang w:val="en-GB"/>
              </w:rPr>
              <w:t>NAB-analyses</w:t>
            </w:r>
          </w:p>
        </w:tc>
        <w:tc>
          <w:tcPr>
            <w:tcW w:w="1559" w:type="dxa"/>
            <w:shd w:val="clear" w:color="auto" w:fill="D9D9D9" w:themeFill="background1" w:themeFillShade="D9"/>
            <w:vAlign w:val="center"/>
          </w:tcPr>
          <w:p w:rsidR="004A331F" w:rsidRPr="00F7606D" w:rsidRDefault="004A331F" w:rsidP="004A331F">
            <w:pPr>
              <w:jc w:val="center"/>
              <w:rPr>
                <w:rFonts w:ascii="Arial Narrow" w:hAnsi="Arial Narrow"/>
                <w:b/>
                <w:szCs w:val="22"/>
                <w:lang w:val="en-GB"/>
              </w:rPr>
            </w:pPr>
            <w:r w:rsidRPr="00F7606D">
              <w:rPr>
                <w:rFonts w:ascii="Arial Narrow" w:hAnsi="Arial Narrow"/>
                <w:b/>
                <w:szCs w:val="22"/>
                <w:lang w:val="en-GB"/>
              </w:rPr>
              <w:t>Infusion costs</w:t>
            </w:r>
          </w:p>
        </w:tc>
        <w:tc>
          <w:tcPr>
            <w:tcW w:w="1417" w:type="dxa"/>
            <w:shd w:val="clear" w:color="auto" w:fill="D9D9D9" w:themeFill="background1" w:themeFillShade="D9"/>
            <w:vAlign w:val="center"/>
          </w:tcPr>
          <w:p w:rsidR="004A331F" w:rsidRPr="00F7606D" w:rsidRDefault="004A331F" w:rsidP="004A331F">
            <w:pPr>
              <w:jc w:val="center"/>
              <w:rPr>
                <w:rFonts w:ascii="Arial Narrow" w:hAnsi="Arial Narrow"/>
                <w:b/>
                <w:szCs w:val="22"/>
                <w:lang w:val="en-GB"/>
              </w:rPr>
            </w:pPr>
            <w:r w:rsidRPr="00F7606D">
              <w:rPr>
                <w:rFonts w:ascii="Arial Narrow" w:hAnsi="Arial Narrow"/>
                <w:b/>
                <w:szCs w:val="22"/>
                <w:lang w:val="en-GB"/>
              </w:rPr>
              <w:t>Eye examinations</w:t>
            </w:r>
          </w:p>
        </w:tc>
        <w:tc>
          <w:tcPr>
            <w:tcW w:w="1276" w:type="dxa"/>
            <w:shd w:val="clear" w:color="auto" w:fill="D9D9D9" w:themeFill="background1" w:themeFillShade="D9"/>
            <w:vAlign w:val="center"/>
          </w:tcPr>
          <w:p w:rsidR="004A331F" w:rsidRPr="00F7606D" w:rsidRDefault="004A331F" w:rsidP="004A331F">
            <w:pPr>
              <w:jc w:val="center"/>
              <w:rPr>
                <w:rFonts w:ascii="Arial Narrow" w:hAnsi="Arial Narrow"/>
                <w:b/>
                <w:szCs w:val="22"/>
                <w:lang w:val="en-GB"/>
              </w:rPr>
            </w:pPr>
            <w:r w:rsidRPr="00F7606D">
              <w:rPr>
                <w:rFonts w:ascii="Arial Narrow" w:hAnsi="Arial Narrow"/>
                <w:b/>
                <w:szCs w:val="22"/>
                <w:lang w:val="en-GB"/>
              </w:rPr>
              <w:t>Startup costs</w:t>
            </w:r>
          </w:p>
        </w:tc>
        <w:tc>
          <w:tcPr>
            <w:tcW w:w="1158" w:type="dxa"/>
            <w:shd w:val="clear" w:color="auto" w:fill="D9D9D9" w:themeFill="background1" w:themeFillShade="D9"/>
            <w:vAlign w:val="center"/>
          </w:tcPr>
          <w:p w:rsidR="004A331F" w:rsidRPr="00F7606D" w:rsidRDefault="004A331F" w:rsidP="004A331F">
            <w:pPr>
              <w:jc w:val="center"/>
              <w:rPr>
                <w:rFonts w:ascii="Arial Narrow" w:hAnsi="Arial Narrow"/>
                <w:b/>
                <w:szCs w:val="22"/>
                <w:lang w:val="en-GB"/>
              </w:rPr>
            </w:pPr>
            <w:r w:rsidRPr="00F7606D">
              <w:rPr>
                <w:rFonts w:ascii="Arial Narrow" w:hAnsi="Arial Narrow"/>
                <w:b/>
                <w:szCs w:val="22"/>
                <w:lang w:val="en-GB"/>
              </w:rPr>
              <w:t>Medical consultations</w:t>
            </w:r>
          </w:p>
        </w:tc>
        <w:tc>
          <w:tcPr>
            <w:tcW w:w="1158" w:type="dxa"/>
            <w:shd w:val="clear" w:color="auto" w:fill="D9D9D9" w:themeFill="background1" w:themeFillShade="D9"/>
            <w:vAlign w:val="center"/>
          </w:tcPr>
          <w:p w:rsidR="004A331F" w:rsidRPr="00F7606D" w:rsidRDefault="004A331F" w:rsidP="004A331F">
            <w:pPr>
              <w:jc w:val="center"/>
              <w:rPr>
                <w:rFonts w:ascii="Arial Narrow" w:hAnsi="Arial Narrow"/>
                <w:b/>
                <w:szCs w:val="22"/>
                <w:lang w:val="en-GB"/>
              </w:rPr>
            </w:pPr>
            <w:r w:rsidRPr="00F7606D">
              <w:rPr>
                <w:rFonts w:ascii="Arial Narrow" w:hAnsi="Arial Narrow"/>
                <w:b/>
                <w:szCs w:val="22"/>
                <w:lang w:val="en-GB"/>
              </w:rPr>
              <w:t>MRI</w:t>
            </w:r>
          </w:p>
        </w:tc>
        <w:tc>
          <w:tcPr>
            <w:tcW w:w="1158" w:type="dxa"/>
            <w:shd w:val="clear" w:color="auto" w:fill="D9D9D9" w:themeFill="background1" w:themeFillShade="D9"/>
            <w:vAlign w:val="center"/>
          </w:tcPr>
          <w:p w:rsidR="004A331F" w:rsidRPr="00F7606D" w:rsidRDefault="004A331F" w:rsidP="004A331F">
            <w:pPr>
              <w:pStyle w:val="Tabelltekst"/>
              <w:jc w:val="center"/>
              <w:rPr>
                <w:b/>
                <w:szCs w:val="22"/>
                <w:lang w:val="en-GB"/>
              </w:rPr>
            </w:pPr>
            <w:r w:rsidRPr="00F7606D">
              <w:rPr>
                <w:b/>
                <w:szCs w:val="22"/>
                <w:lang w:val="en-GB"/>
              </w:rPr>
              <w:t>Blood tests</w:t>
            </w:r>
          </w:p>
          <w:p w:rsidR="004A331F" w:rsidRPr="00F7606D" w:rsidRDefault="004A331F" w:rsidP="004A331F">
            <w:pPr>
              <w:pStyle w:val="Tabelltekst"/>
              <w:jc w:val="center"/>
              <w:rPr>
                <w:b/>
                <w:szCs w:val="22"/>
                <w:lang w:val="en-GB"/>
              </w:rPr>
            </w:pPr>
            <w:r w:rsidRPr="00F7606D">
              <w:rPr>
                <w:b/>
                <w:szCs w:val="22"/>
                <w:lang w:val="en-GB"/>
              </w:rPr>
              <w:t>(outpatient visits)</w:t>
            </w:r>
          </w:p>
        </w:tc>
        <w:tc>
          <w:tcPr>
            <w:tcW w:w="1158" w:type="dxa"/>
            <w:shd w:val="clear" w:color="auto" w:fill="D9D9D9" w:themeFill="background1" w:themeFillShade="D9"/>
            <w:vAlign w:val="center"/>
          </w:tcPr>
          <w:p w:rsidR="004A331F" w:rsidRPr="00F7606D" w:rsidRDefault="004A331F" w:rsidP="004A331F">
            <w:pPr>
              <w:pStyle w:val="Tabelltekst"/>
              <w:jc w:val="center"/>
              <w:rPr>
                <w:b/>
                <w:szCs w:val="22"/>
                <w:lang w:val="en-GB"/>
              </w:rPr>
            </w:pPr>
            <w:r w:rsidRPr="00F7606D">
              <w:rPr>
                <w:b/>
                <w:szCs w:val="22"/>
                <w:lang w:val="en-GB"/>
              </w:rPr>
              <w:t>Travel costs</w:t>
            </w:r>
            <w:r w:rsidRPr="00F7606D">
              <w:rPr>
                <w:b/>
                <w:szCs w:val="22"/>
                <w:vertAlign w:val="superscript"/>
                <w:lang w:val="en-GB"/>
              </w:rPr>
              <w:t xml:space="preserve"> </w:t>
            </w:r>
          </w:p>
        </w:tc>
        <w:tc>
          <w:tcPr>
            <w:tcW w:w="1158" w:type="dxa"/>
            <w:shd w:val="clear" w:color="auto" w:fill="D9D9D9" w:themeFill="background1" w:themeFillShade="D9"/>
            <w:vAlign w:val="center"/>
          </w:tcPr>
          <w:p w:rsidR="004A331F" w:rsidRPr="00F7606D" w:rsidRDefault="004A331F" w:rsidP="004A331F">
            <w:pPr>
              <w:pStyle w:val="Tabelltekst"/>
              <w:jc w:val="center"/>
              <w:rPr>
                <w:rFonts w:asciiTheme="minorHAnsi" w:hAnsiTheme="minorHAnsi"/>
                <w:b/>
                <w:szCs w:val="20"/>
                <w:lang w:val="en-GB"/>
              </w:rPr>
            </w:pPr>
            <w:r w:rsidRPr="00F7606D">
              <w:rPr>
                <w:rFonts w:asciiTheme="minorHAnsi" w:hAnsiTheme="minorHAnsi"/>
                <w:b/>
                <w:szCs w:val="20"/>
                <w:lang w:val="en-GB"/>
              </w:rPr>
              <w:t>Total</w:t>
            </w:r>
          </w:p>
        </w:tc>
      </w:tr>
      <w:tr w:rsidR="004A331F" w:rsidRPr="00F7606D" w:rsidTr="004A331F">
        <w:trPr>
          <w:trHeight w:val="973"/>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 xml:space="preserve">Alemtuzumab </w:t>
            </w:r>
            <w:r w:rsidRPr="00F7606D">
              <w:rPr>
                <w:b/>
                <w:szCs w:val="22"/>
                <w:vertAlign w:val="superscript"/>
                <w:lang w:val="en-GB"/>
              </w:rPr>
              <w:t>a</w:t>
            </w:r>
            <w:r w:rsidRPr="00F7606D">
              <w:rPr>
                <w:b/>
                <w:szCs w:val="22"/>
                <w:lang w:val="en-GB"/>
              </w:rPr>
              <w:t xml:space="preserve"> (Lemtrada)</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 (2/year)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w:t>
            </w:r>
          </w:p>
          <w:p w:rsidR="004A331F" w:rsidRPr="00F7606D" w:rsidRDefault="004A331F" w:rsidP="004A331F">
            <w:pPr>
              <w:jc w:val="center"/>
              <w:rPr>
                <w:rFonts w:ascii="Arial Narrow" w:hAnsi="Arial Narrow"/>
                <w:lang w:val="en-GB"/>
              </w:rPr>
            </w:pPr>
            <w:r w:rsidRPr="00F7606D">
              <w:rPr>
                <w:rFonts w:ascii="Arial Narrow" w:hAnsi="Arial Narrow"/>
                <w:lang w:val="en-GB"/>
              </w:rPr>
              <w:t>(1/year)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1232</w:t>
            </w:r>
          </w:p>
          <w:p w:rsidR="004A331F" w:rsidRPr="00F7606D" w:rsidRDefault="004A331F" w:rsidP="004A331F">
            <w:pPr>
              <w:jc w:val="center"/>
              <w:rPr>
                <w:rFonts w:ascii="Arial Narrow" w:hAnsi="Arial Narrow"/>
                <w:lang w:val="en-GB"/>
              </w:rPr>
            </w:pPr>
            <w:r w:rsidRPr="00F7606D">
              <w:rPr>
                <w:rFonts w:ascii="Arial Narrow" w:hAnsi="Arial Narrow"/>
                <w:lang w:val="en-GB"/>
              </w:rPr>
              <w:t>(11/year; only for 3.-5. 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800</w:t>
            </w:r>
            <w:r w:rsidRPr="00F7606D">
              <w:rPr>
                <w:szCs w:val="22"/>
                <w:vertAlign w:val="superscript"/>
                <w:lang w:val="en-GB"/>
              </w:rPr>
              <w:t xml:space="preserve"> 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8307 (3.-5.year)</w:t>
            </w:r>
          </w:p>
          <w:p w:rsidR="004A331F" w:rsidRPr="00F7606D" w:rsidRDefault="004A331F" w:rsidP="004A331F">
            <w:pPr>
              <w:jc w:val="center"/>
              <w:rPr>
                <w:rFonts w:ascii="Arial Narrow" w:hAnsi="Arial Narrow"/>
                <w:lang w:val="en-GB"/>
              </w:rPr>
            </w:pPr>
            <w:r w:rsidRPr="00F7606D">
              <w:rPr>
                <w:rFonts w:ascii="Arial Narrow" w:hAnsi="Arial Narrow"/>
                <w:lang w:val="en-GB"/>
              </w:rPr>
              <w:t>7075 (+5.year)</w:t>
            </w:r>
          </w:p>
        </w:tc>
      </w:tr>
      <w:tr w:rsidR="004A331F" w:rsidRPr="00F7606D" w:rsidTr="004A331F">
        <w:trPr>
          <w:trHeight w:val="974"/>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Dimethyl fumarate (Tecifidera)</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 (2/year)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w:t>
            </w:r>
          </w:p>
          <w:p w:rsidR="004A331F" w:rsidRPr="00F7606D" w:rsidRDefault="004A331F" w:rsidP="004A331F">
            <w:pPr>
              <w:jc w:val="center"/>
              <w:rPr>
                <w:rFonts w:ascii="Arial Narrow" w:hAnsi="Arial Narrow"/>
                <w:lang w:val="en-GB"/>
              </w:rPr>
            </w:pPr>
            <w:r w:rsidRPr="00F7606D">
              <w:rPr>
                <w:rFonts w:ascii="Arial Narrow" w:hAnsi="Arial Narrow"/>
                <w:lang w:val="en-GB"/>
              </w:rPr>
              <w:t>(1/year)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800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7075</w:t>
            </w:r>
          </w:p>
        </w:tc>
      </w:tr>
      <w:tr w:rsidR="004A331F" w:rsidRPr="00F7606D" w:rsidTr="004A331F">
        <w:trPr>
          <w:trHeight w:val="924"/>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Fingolimod  (Gilenya)</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 (2/year)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w:t>
            </w:r>
          </w:p>
          <w:p w:rsidR="004A331F" w:rsidRPr="00F7606D" w:rsidRDefault="004A331F" w:rsidP="004A331F">
            <w:pPr>
              <w:jc w:val="center"/>
              <w:rPr>
                <w:rFonts w:ascii="Arial Narrow" w:hAnsi="Arial Narrow"/>
                <w:lang w:val="en-GB"/>
              </w:rPr>
            </w:pPr>
            <w:r w:rsidRPr="00F7606D">
              <w:rPr>
                <w:rFonts w:ascii="Arial Narrow" w:hAnsi="Arial Narrow"/>
                <w:lang w:val="en-GB"/>
              </w:rPr>
              <w:t>(1/year)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800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7075</w:t>
            </w:r>
          </w:p>
        </w:tc>
      </w:tr>
      <w:tr w:rsidR="004A331F" w:rsidRPr="00F7606D" w:rsidTr="004A331F">
        <w:trPr>
          <w:trHeight w:val="852"/>
        </w:trPr>
        <w:tc>
          <w:tcPr>
            <w:tcW w:w="1696" w:type="dxa"/>
            <w:noWrap/>
            <w:vAlign w:val="center"/>
          </w:tcPr>
          <w:p w:rsidR="004A331F" w:rsidRPr="00F7606D" w:rsidRDefault="004A331F" w:rsidP="004A331F">
            <w:pPr>
              <w:rPr>
                <w:rFonts w:ascii="Arial Narrow" w:hAnsi="Arial Narrow"/>
                <w:b/>
                <w:szCs w:val="22"/>
                <w:lang w:val="en-GB"/>
              </w:rPr>
            </w:pPr>
            <w:r w:rsidRPr="00F7606D">
              <w:rPr>
                <w:rFonts w:ascii="Arial Narrow" w:hAnsi="Arial Narrow"/>
                <w:b/>
                <w:szCs w:val="22"/>
                <w:lang w:val="en-GB"/>
              </w:rPr>
              <w:t xml:space="preserve">Glatiramer  </w:t>
            </w:r>
          </w:p>
          <w:p w:rsidR="004A331F" w:rsidRPr="00F7606D" w:rsidRDefault="004A331F" w:rsidP="004A331F">
            <w:pPr>
              <w:rPr>
                <w:rFonts w:ascii="Arial Narrow" w:hAnsi="Arial Narrow"/>
                <w:b/>
                <w:szCs w:val="22"/>
                <w:lang w:val="en-GB"/>
              </w:rPr>
            </w:pPr>
            <w:r w:rsidRPr="00F7606D">
              <w:rPr>
                <w:rFonts w:ascii="Arial Narrow" w:hAnsi="Arial Narrow"/>
                <w:b/>
                <w:szCs w:val="22"/>
                <w:lang w:val="en-GB"/>
              </w:rPr>
              <w:t>acetate</w:t>
            </w:r>
          </w:p>
          <w:p w:rsidR="004A331F" w:rsidRPr="00F7606D" w:rsidRDefault="004A331F" w:rsidP="004A331F">
            <w:pPr>
              <w:pStyle w:val="Tabelltekst"/>
              <w:rPr>
                <w:b/>
                <w:szCs w:val="22"/>
                <w:lang w:val="en-GB"/>
              </w:rPr>
            </w:pPr>
            <w:r w:rsidRPr="00F7606D">
              <w:rPr>
                <w:b/>
                <w:szCs w:val="22"/>
                <w:lang w:val="en-GB"/>
              </w:rPr>
              <w:t>(Copaxone)</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w:t>
            </w:r>
          </w:p>
          <w:p w:rsidR="004A331F" w:rsidRPr="00F7606D" w:rsidRDefault="004A331F" w:rsidP="004A331F">
            <w:pPr>
              <w:jc w:val="center"/>
              <w:rPr>
                <w:rFonts w:ascii="Arial Narrow" w:hAnsi="Arial Narrow"/>
                <w:lang w:val="en-GB"/>
              </w:rPr>
            </w:pPr>
            <w:r w:rsidRPr="00F7606D">
              <w:rPr>
                <w:rFonts w:ascii="Arial Narrow" w:hAnsi="Arial Narrow"/>
                <w:lang w:val="en-GB"/>
              </w:rPr>
              <w:t>(2/year)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w:t>
            </w:r>
          </w:p>
          <w:p w:rsidR="004A331F" w:rsidRPr="00F7606D" w:rsidRDefault="004A331F" w:rsidP="004A331F">
            <w:pPr>
              <w:jc w:val="center"/>
              <w:rPr>
                <w:rFonts w:ascii="Arial Narrow" w:hAnsi="Arial Narrow"/>
                <w:lang w:val="en-GB"/>
              </w:rPr>
            </w:pPr>
            <w:r w:rsidRPr="00F7606D">
              <w:rPr>
                <w:rFonts w:ascii="Arial Narrow" w:hAnsi="Arial Narrow"/>
                <w:lang w:val="en-GB"/>
              </w:rPr>
              <w:t>(1/year)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800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7075</w:t>
            </w:r>
          </w:p>
        </w:tc>
      </w:tr>
      <w:tr w:rsidR="004A331F" w:rsidRPr="00F7606D" w:rsidTr="004A331F">
        <w:trPr>
          <w:trHeight w:val="717"/>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Interferon beta-1a (Avonex)</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 (2/year)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 (1/year)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800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7075</w:t>
            </w:r>
          </w:p>
        </w:tc>
      </w:tr>
      <w:tr w:rsidR="004A331F" w:rsidRPr="00F7606D" w:rsidTr="004A331F">
        <w:trPr>
          <w:trHeight w:val="653"/>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Interferon beta-1a 44 mcg (Rebif)</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w:t>
            </w:r>
          </w:p>
          <w:p w:rsidR="004A331F" w:rsidRPr="00F7606D" w:rsidRDefault="004A331F" w:rsidP="004A331F">
            <w:pPr>
              <w:jc w:val="center"/>
              <w:rPr>
                <w:rFonts w:ascii="Arial Narrow" w:hAnsi="Arial Narrow"/>
                <w:lang w:val="en-GB"/>
              </w:rPr>
            </w:pPr>
            <w:r w:rsidRPr="00F7606D">
              <w:rPr>
                <w:rFonts w:ascii="Arial Narrow" w:hAnsi="Arial Narrow"/>
                <w:lang w:val="en-GB"/>
              </w:rPr>
              <w:t>(2/year)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 (1/year)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800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7075</w:t>
            </w:r>
          </w:p>
        </w:tc>
      </w:tr>
      <w:tr w:rsidR="004A331F" w:rsidRPr="00F7606D" w:rsidTr="004A331F">
        <w:trPr>
          <w:trHeight w:val="653"/>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Interferon beta-1a 22 mcg (Rebif)</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 (2/year)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 (1/year)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800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7075</w:t>
            </w:r>
          </w:p>
        </w:tc>
      </w:tr>
      <w:tr w:rsidR="004A331F" w:rsidRPr="00F7606D" w:rsidTr="004A331F">
        <w:trPr>
          <w:trHeight w:val="653"/>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Interferon beta-1b (Betaferon)</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 (2/year)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 (1/year)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800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b/>
                <w:lang w:val="en-GB"/>
              </w:rPr>
            </w:pPr>
            <w:r w:rsidRPr="00F7606D">
              <w:rPr>
                <w:rFonts w:ascii="Arial Narrow" w:hAnsi="Arial Narrow"/>
                <w:lang w:val="en-GB"/>
              </w:rPr>
              <w:t>7075</w:t>
            </w:r>
          </w:p>
        </w:tc>
      </w:tr>
      <w:tr w:rsidR="004A331F" w:rsidRPr="00F7606D" w:rsidTr="004A331F">
        <w:trPr>
          <w:trHeight w:val="653"/>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Interferon beta-1b (Extavia)</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 (2/year)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 (1/year)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800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7075</w:t>
            </w:r>
          </w:p>
        </w:tc>
      </w:tr>
      <w:tr w:rsidR="004A331F" w:rsidRPr="00F7606D" w:rsidTr="004A331F">
        <w:trPr>
          <w:trHeight w:val="295"/>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Natalizumab (Tysabri)</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16,250</w:t>
            </w:r>
          </w:p>
          <w:p w:rsidR="004A331F" w:rsidRPr="00F7606D" w:rsidRDefault="004A331F" w:rsidP="004A331F">
            <w:pPr>
              <w:jc w:val="center"/>
              <w:rPr>
                <w:rFonts w:ascii="Arial Narrow" w:hAnsi="Arial Narrow"/>
                <w:lang w:val="en-GB"/>
              </w:rPr>
            </w:pPr>
            <w:r w:rsidRPr="00F7606D">
              <w:rPr>
                <w:rFonts w:ascii="Arial Narrow" w:hAnsi="Arial Narrow"/>
                <w:lang w:val="en-GB"/>
              </w:rPr>
              <w:t>(13/year)</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 (2/year)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w:t>
            </w:r>
          </w:p>
          <w:p w:rsidR="004A331F" w:rsidRPr="00F7606D" w:rsidRDefault="004A331F" w:rsidP="004A331F">
            <w:pPr>
              <w:jc w:val="center"/>
              <w:rPr>
                <w:rFonts w:ascii="Arial Narrow" w:hAnsi="Arial Narrow"/>
                <w:lang w:val="en-GB"/>
              </w:rPr>
            </w:pPr>
            <w:r w:rsidRPr="00F7606D">
              <w:rPr>
                <w:rFonts w:ascii="Arial Narrow" w:hAnsi="Arial Narrow"/>
                <w:lang w:val="en-GB"/>
              </w:rPr>
              <w:t>(1/year)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5200 </w:t>
            </w:r>
            <w:r w:rsidRPr="00F7606D">
              <w:rPr>
                <w:rFonts w:ascii="Arial Narrow" w:hAnsi="Arial Narrow"/>
                <w:vertAlign w:val="superscript"/>
                <w:lang w:val="en-GB"/>
              </w:rPr>
              <w:t>c</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27,725</w:t>
            </w:r>
          </w:p>
        </w:tc>
      </w:tr>
      <w:tr w:rsidR="004A331F" w:rsidRPr="00F7606D" w:rsidTr="004A331F">
        <w:trPr>
          <w:trHeight w:val="653"/>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 xml:space="preserve">Peg-interferon </w:t>
            </w:r>
          </w:p>
          <w:p w:rsidR="004A331F" w:rsidRPr="00F7606D" w:rsidRDefault="004A331F" w:rsidP="004A331F">
            <w:pPr>
              <w:pStyle w:val="Tabelltekst"/>
              <w:rPr>
                <w:b/>
                <w:szCs w:val="22"/>
                <w:lang w:val="en-GB"/>
              </w:rPr>
            </w:pPr>
            <w:r w:rsidRPr="00F7606D">
              <w:rPr>
                <w:b/>
                <w:szCs w:val="22"/>
                <w:lang w:val="en-GB"/>
              </w:rPr>
              <w:t>beta-1a (Plegridy)</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 (2/year)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 (1/year)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800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7075</w:t>
            </w:r>
          </w:p>
        </w:tc>
      </w:tr>
      <w:tr w:rsidR="004A331F" w:rsidRPr="00F7606D" w:rsidTr="004A331F">
        <w:trPr>
          <w:trHeight w:val="653"/>
        </w:trPr>
        <w:tc>
          <w:tcPr>
            <w:tcW w:w="1696" w:type="dxa"/>
            <w:noWrap/>
            <w:vAlign w:val="center"/>
          </w:tcPr>
          <w:p w:rsidR="004A331F" w:rsidRPr="00F7606D" w:rsidRDefault="004A331F" w:rsidP="004A331F">
            <w:pPr>
              <w:pStyle w:val="Tabelltekst"/>
              <w:rPr>
                <w:b/>
                <w:szCs w:val="22"/>
                <w:lang w:val="en-GB"/>
              </w:rPr>
            </w:pPr>
            <w:r w:rsidRPr="00F7606D">
              <w:rPr>
                <w:b/>
                <w:szCs w:val="22"/>
                <w:lang w:val="en-GB"/>
              </w:rPr>
              <w:t>Teriflunomide (Aubagio)</w:t>
            </w:r>
          </w:p>
        </w:tc>
        <w:tc>
          <w:tcPr>
            <w:tcW w:w="1560"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559"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417"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276"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0</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3675 (2/year)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2600 (1/year)</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448 </w:t>
            </w:r>
            <w:r w:rsidRPr="00F7606D">
              <w:rPr>
                <w:rFonts w:ascii="Arial Narrow" w:hAnsi="Arial Narrow"/>
                <w:vertAlign w:val="superscript"/>
                <w:lang w:val="en-GB"/>
              </w:rPr>
              <w:t>d</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 xml:space="preserve">800 </w:t>
            </w:r>
            <w:r w:rsidRPr="00F7606D">
              <w:rPr>
                <w:rFonts w:ascii="Arial Narrow" w:hAnsi="Arial Narrow"/>
                <w:vertAlign w:val="superscript"/>
                <w:lang w:val="en-GB"/>
              </w:rPr>
              <w:t>b</w:t>
            </w:r>
          </w:p>
        </w:tc>
        <w:tc>
          <w:tcPr>
            <w:tcW w:w="1158" w:type="dxa"/>
            <w:vAlign w:val="center"/>
          </w:tcPr>
          <w:p w:rsidR="004A331F" w:rsidRPr="00F7606D" w:rsidRDefault="004A331F" w:rsidP="004A331F">
            <w:pPr>
              <w:jc w:val="center"/>
              <w:rPr>
                <w:rFonts w:ascii="Arial Narrow" w:hAnsi="Arial Narrow"/>
                <w:lang w:val="en-GB"/>
              </w:rPr>
            </w:pPr>
            <w:r w:rsidRPr="00F7606D">
              <w:rPr>
                <w:rFonts w:ascii="Arial Narrow" w:hAnsi="Arial Narrow"/>
                <w:lang w:val="en-GB"/>
              </w:rPr>
              <w:t>7523</w:t>
            </w:r>
          </w:p>
        </w:tc>
      </w:tr>
    </w:tbl>
    <w:p w:rsidR="004A331F" w:rsidRPr="00F7606D" w:rsidRDefault="004A331F" w:rsidP="004A331F">
      <w:pPr>
        <w:ind w:left="360"/>
      </w:pPr>
      <w:r w:rsidRPr="00F7606D">
        <w:rPr>
          <w:vertAlign w:val="superscript"/>
        </w:rPr>
        <w:t xml:space="preserve">a </w:t>
      </w:r>
      <w:r w:rsidRPr="00F7606D">
        <w:t>The majority of patients receiving Alemtuzumab would not need new treatment after 5 –year treatment. It was assumed that 20% of patients need extra treatment (12 mg/day for 3 days) (expert opinion).</w:t>
      </w:r>
      <w:r w:rsidRPr="00F7606D">
        <w:rPr>
          <w:vertAlign w:val="superscript"/>
        </w:rPr>
        <w:t>b</w:t>
      </w:r>
      <w:r w:rsidRPr="00F7606D">
        <w:t xml:space="preserve"> Analyses, MR, medical consultations and infusions will be done at the same day.</w:t>
      </w:r>
      <w:r w:rsidR="00EE0715">
        <w:t xml:space="preserve"> </w:t>
      </w:r>
      <w:r w:rsidRPr="00F7606D">
        <w:rPr>
          <w:vertAlign w:val="superscript"/>
        </w:rPr>
        <w:t>c</w:t>
      </w:r>
      <w:r w:rsidRPr="00F7606D">
        <w:t xml:space="preserve"> Analyses, MR, and medical consultations will be done at the same day (2/year).</w:t>
      </w:r>
      <w:r w:rsidRPr="00F7606D">
        <w:rPr>
          <w:vertAlign w:val="superscript"/>
        </w:rPr>
        <w:t xml:space="preserve">d </w:t>
      </w:r>
      <w:r w:rsidRPr="00F7606D">
        <w:t>Every other month (numbers of medical consultations were deducted)</w:t>
      </w:r>
    </w:p>
    <w:p w:rsidR="004A331F" w:rsidRDefault="004A331F" w:rsidP="004A331F">
      <w:pPr>
        <w:sectPr w:rsidR="004A331F" w:rsidSect="004A331F">
          <w:pgSz w:w="16838" w:h="11906" w:orient="landscape"/>
          <w:pgMar w:top="1418" w:right="1418" w:bottom="1418" w:left="1418" w:header="709" w:footer="709" w:gutter="0"/>
          <w:cols w:space="708"/>
          <w:docGrid w:linePitch="360"/>
        </w:sectPr>
      </w:pPr>
    </w:p>
    <w:p w:rsidR="0021476C" w:rsidRPr="007F3BF7" w:rsidRDefault="0021476C" w:rsidP="0021476C">
      <w:pPr>
        <w:pStyle w:val="20"/>
        <w:numPr>
          <w:ilvl w:val="0"/>
          <w:numId w:val="0"/>
        </w:numPr>
        <w:jc w:val="both"/>
        <w:rPr>
          <w:rFonts w:ascii="Times New Roman" w:hAnsi="Times New Roman" w:cs="Times New Roman"/>
          <w:sz w:val="28"/>
        </w:rPr>
      </w:pPr>
      <w:r w:rsidRPr="007F3BF7">
        <w:rPr>
          <w:rFonts w:ascii="Times New Roman" w:hAnsi="Times New Roman" w:cs="Times New Roman"/>
          <w:sz w:val="28"/>
        </w:rPr>
        <w:t xml:space="preserve">Supplementary material </w:t>
      </w:r>
      <w:r w:rsidR="000D044E">
        <w:rPr>
          <w:rFonts w:ascii="Times New Roman" w:hAnsi="Times New Roman" w:cs="Times New Roman"/>
          <w:sz w:val="28"/>
        </w:rPr>
        <w:t>7</w:t>
      </w:r>
      <w:r>
        <w:rPr>
          <w:rFonts w:ascii="Times New Roman" w:hAnsi="Times New Roman" w:cs="Times New Roman"/>
          <w:sz w:val="28"/>
        </w:rPr>
        <w:t xml:space="preserve"> </w:t>
      </w:r>
      <w:r w:rsidR="007B226E">
        <w:rPr>
          <w:rFonts w:ascii="Times New Roman" w:hAnsi="Times New Roman" w:cs="Times New Roman"/>
          <w:sz w:val="28"/>
        </w:rPr>
        <w:t>Quality of life data used in the model (base-case)</w:t>
      </w:r>
    </w:p>
    <w:p w:rsidR="0021476C" w:rsidRDefault="0021476C" w:rsidP="0021476C">
      <w:pPr>
        <w:pStyle w:val="Figuretext"/>
        <w:rPr>
          <w:b/>
          <w:szCs w:val="20"/>
        </w:rPr>
      </w:pPr>
    </w:p>
    <w:tbl>
      <w:tblPr>
        <w:tblStyle w:val="afff"/>
        <w:tblW w:w="8222" w:type="dxa"/>
        <w:tblInd w:w="-5" w:type="dxa"/>
        <w:tblLayout w:type="fixed"/>
        <w:tblLook w:val="04A0"/>
      </w:tblPr>
      <w:tblGrid>
        <w:gridCol w:w="1985"/>
        <w:gridCol w:w="1701"/>
        <w:gridCol w:w="992"/>
        <w:gridCol w:w="1134"/>
        <w:gridCol w:w="2410"/>
      </w:tblGrid>
      <w:tr w:rsidR="007B226E" w:rsidRPr="00F7606D" w:rsidTr="0075275D">
        <w:trPr>
          <w:trHeight w:val="822"/>
        </w:trPr>
        <w:tc>
          <w:tcPr>
            <w:tcW w:w="1985" w:type="dxa"/>
            <w:shd w:val="clear" w:color="auto" w:fill="D9D9D9" w:themeFill="background1" w:themeFillShade="D9"/>
            <w:vAlign w:val="center"/>
          </w:tcPr>
          <w:p w:rsidR="007B226E" w:rsidRPr="00F7606D" w:rsidRDefault="007B226E" w:rsidP="00435B8F">
            <w:pPr>
              <w:jc w:val="center"/>
              <w:rPr>
                <w:rFonts w:ascii="Arial Narrow" w:hAnsi="Arial Narrow"/>
                <w:b/>
                <w:szCs w:val="22"/>
                <w:lang w:val="en-GB"/>
              </w:rPr>
            </w:pPr>
            <w:r w:rsidRPr="00F7606D">
              <w:rPr>
                <w:rFonts w:ascii="Arial Narrow" w:hAnsi="Arial Narrow"/>
                <w:b/>
                <w:szCs w:val="22"/>
                <w:lang w:val="en-GB"/>
              </w:rPr>
              <w:t>Parameter</w:t>
            </w:r>
          </w:p>
        </w:tc>
        <w:tc>
          <w:tcPr>
            <w:tcW w:w="1701" w:type="dxa"/>
            <w:shd w:val="clear" w:color="auto" w:fill="D9D9D9" w:themeFill="background1" w:themeFillShade="D9"/>
            <w:vAlign w:val="center"/>
            <w:hideMark/>
          </w:tcPr>
          <w:p w:rsidR="007B226E" w:rsidRPr="00F7606D" w:rsidRDefault="007B226E" w:rsidP="00435B8F">
            <w:pPr>
              <w:jc w:val="center"/>
              <w:rPr>
                <w:rFonts w:ascii="Arial Narrow" w:hAnsi="Arial Narrow"/>
                <w:b/>
                <w:szCs w:val="22"/>
                <w:lang w:val="en-GB"/>
              </w:rPr>
            </w:pPr>
            <w:r w:rsidRPr="00F7606D">
              <w:rPr>
                <w:rFonts w:ascii="Arial Narrow" w:hAnsi="Arial Narrow"/>
                <w:b/>
                <w:szCs w:val="22"/>
                <w:lang w:val="en-GB"/>
              </w:rPr>
              <w:t>Utility weight</w:t>
            </w:r>
          </w:p>
        </w:tc>
        <w:tc>
          <w:tcPr>
            <w:tcW w:w="2126" w:type="dxa"/>
            <w:gridSpan w:val="2"/>
            <w:shd w:val="clear" w:color="auto" w:fill="D9D9D9" w:themeFill="background1" w:themeFillShade="D9"/>
            <w:vAlign w:val="center"/>
          </w:tcPr>
          <w:p w:rsidR="007B226E" w:rsidRPr="00F7606D" w:rsidRDefault="007B226E" w:rsidP="00435B8F">
            <w:pPr>
              <w:jc w:val="center"/>
              <w:rPr>
                <w:rFonts w:ascii="Arial Narrow" w:hAnsi="Arial Narrow"/>
                <w:b/>
                <w:szCs w:val="22"/>
                <w:lang w:val="en-GB"/>
              </w:rPr>
            </w:pPr>
            <w:r w:rsidRPr="00F7606D">
              <w:rPr>
                <w:rFonts w:ascii="Arial Narrow" w:hAnsi="Arial Narrow"/>
                <w:b/>
                <w:szCs w:val="22"/>
                <w:lang w:val="en-GB"/>
              </w:rPr>
              <w:t>95% CL</w:t>
            </w:r>
          </w:p>
        </w:tc>
        <w:tc>
          <w:tcPr>
            <w:tcW w:w="2410" w:type="dxa"/>
            <w:shd w:val="clear" w:color="auto" w:fill="D9D9D9" w:themeFill="background1" w:themeFillShade="D9"/>
            <w:vAlign w:val="center"/>
          </w:tcPr>
          <w:p w:rsidR="007B226E" w:rsidRPr="00F7606D" w:rsidRDefault="007B226E" w:rsidP="00435B8F">
            <w:pPr>
              <w:jc w:val="center"/>
              <w:rPr>
                <w:rFonts w:ascii="Arial Narrow" w:hAnsi="Arial Narrow"/>
                <w:b/>
                <w:szCs w:val="22"/>
                <w:lang w:val="en-GB"/>
              </w:rPr>
            </w:pPr>
            <w:r w:rsidRPr="00F7606D">
              <w:rPr>
                <w:rFonts w:ascii="Arial Narrow" w:hAnsi="Arial Narrow"/>
                <w:b/>
                <w:szCs w:val="22"/>
                <w:lang w:val="en-GB"/>
              </w:rPr>
              <w:t>Probability distribution</w:t>
            </w:r>
          </w:p>
        </w:tc>
      </w:tr>
      <w:tr w:rsidR="007B226E" w:rsidRPr="00F7606D" w:rsidTr="00435B8F">
        <w:trPr>
          <w:trHeight w:val="656"/>
        </w:trPr>
        <w:tc>
          <w:tcPr>
            <w:tcW w:w="1985" w:type="dxa"/>
            <w:vAlign w:val="center"/>
          </w:tcPr>
          <w:p w:rsidR="007B226E" w:rsidRPr="00F7606D" w:rsidRDefault="007B226E" w:rsidP="00435B8F">
            <w:pPr>
              <w:pStyle w:val="Tabelltekst"/>
              <w:jc w:val="center"/>
              <w:rPr>
                <w:lang w:val="en-GB"/>
              </w:rPr>
            </w:pPr>
            <w:r w:rsidRPr="00F7606D">
              <w:rPr>
                <w:lang w:val="en-GB"/>
              </w:rPr>
              <w:t>EDSS 0</w:t>
            </w:r>
          </w:p>
        </w:tc>
        <w:tc>
          <w:tcPr>
            <w:tcW w:w="1701" w:type="dxa"/>
            <w:noWrap/>
            <w:vAlign w:val="center"/>
            <w:hideMark/>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0.870</w:t>
            </w:r>
          </w:p>
        </w:tc>
        <w:tc>
          <w:tcPr>
            <w:tcW w:w="992"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0.782</w:t>
            </w:r>
          </w:p>
        </w:tc>
        <w:tc>
          <w:tcPr>
            <w:tcW w:w="1134" w:type="dxa"/>
            <w:noWrap/>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0.958</w:t>
            </w:r>
          </w:p>
        </w:tc>
        <w:tc>
          <w:tcPr>
            <w:tcW w:w="2410"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Beta</w:t>
            </w:r>
          </w:p>
        </w:tc>
      </w:tr>
      <w:tr w:rsidR="007B226E" w:rsidRPr="00F7606D" w:rsidTr="00435B8F">
        <w:trPr>
          <w:trHeight w:val="622"/>
        </w:trPr>
        <w:tc>
          <w:tcPr>
            <w:tcW w:w="1985" w:type="dxa"/>
            <w:vAlign w:val="center"/>
          </w:tcPr>
          <w:p w:rsidR="007B226E" w:rsidRPr="00F7606D" w:rsidRDefault="007B226E" w:rsidP="00435B8F">
            <w:pPr>
              <w:pStyle w:val="Tabelltekst"/>
              <w:jc w:val="center"/>
              <w:rPr>
                <w:lang w:val="en-GB"/>
              </w:rPr>
            </w:pPr>
            <w:r w:rsidRPr="00F7606D">
              <w:rPr>
                <w:lang w:val="en-GB"/>
              </w:rPr>
              <w:t>EDSS 1</w:t>
            </w:r>
          </w:p>
        </w:tc>
        <w:tc>
          <w:tcPr>
            <w:tcW w:w="1701" w:type="dxa"/>
            <w:noWrap/>
            <w:vAlign w:val="center"/>
            <w:hideMark/>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0.799</w:t>
            </w:r>
          </w:p>
        </w:tc>
        <w:tc>
          <w:tcPr>
            <w:tcW w:w="992"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0.799</w:t>
            </w:r>
          </w:p>
        </w:tc>
        <w:tc>
          <w:tcPr>
            <w:tcW w:w="1134" w:type="dxa"/>
            <w:noWrap/>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0.617</w:t>
            </w:r>
          </w:p>
        </w:tc>
        <w:tc>
          <w:tcPr>
            <w:tcW w:w="2410"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Beta</w:t>
            </w:r>
          </w:p>
        </w:tc>
      </w:tr>
      <w:tr w:rsidR="007B226E" w:rsidRPr="00F7606D" w:rsidTr="00435B8F">
        <w:trPr>
          <w:trHeight w:val="798"/>
        </w:trPr>
        <w:tc>
          <w:tcPr>
            <w:tcW w:w="1985" w:type="dxa"/>
            <w:vAlign w:val="center"/>
          </w:tcPr>
          <w:p w:rsidR="007B226E" w:rsidRPr="00F7606D" w:rsidRDefault="007B226E" w:rsidP="00435B8F">
            <w:pPr>
              <w:pStyle w:val="Tabelltekst"/>
              <w:jc w:val="center"/>
              <w:rPr>
                <w:lang w:val="en-GB"/>
              </w:rPr>
            </w:pPr>
            <w:r w:rsidRPr="00F7606D">
              <w:rPr>
                <w:lang w:val="en-GB"/>
              </w:rPr>
              <w:t>EDSS 2</w:t>
            </w:r>
          </w:p>
        </w:tc>
        <w:tc>
          <w:tcPr>
            <w:tcW w:w="1701" w:type="dxa"/>
            <w:noWrap/>
            <w:vAlign w:val="center"/>
            <w:hideMark/>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0.705</w:t>
            </w:r>
          </w:p>
        </w:tc>
        <w:tc>
          <w:tcPr>
            <w:tcW w:w="992"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0.705</w:t>
            </w:r>
          </w:p>
        </w:tc>
        <w:tc>
          <w:tcPr>
            <w:tcW w:w="1134" w:type="dxa"/>
            <w:noWrap/>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.0523</w:t>
            </w:r>
          </w:p>
        </w:tc>
        <w:tc>
          <w:tcPr>
            <w:tcW w:w="2410"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Beta</w:t>
            </w:r>
          </w:p>
        </w:tc>
      </w:tr>
      <w:tr w:rsidR="007B226E" w:rsidRPr="00F7606D" w:rsidTr="00435B8F">
        <w:trPr>
          <w:trHeight w:val="622"/>
        </w:trPr>
        <w:tc>
          <w:tcPr>
            <w:tcW w:w="1985" w:type="dxa"/>
            <w:vAlign w:val="center"/>
          </w:tcPr>
          <w:p w:rsidR="007B226E" w:rsidRPr="00F7606D" w:rsidRDefault="007B226E" w:rsidP="00435B8F">
            <w:pPr>
              <w:pStyle w:val="Tabelltekst"/>
              <w:jc w:val="center"/>
              <w:rPr>
                <w:lang w:val="en-GB"/>
              </w:rPr>
            </w:pPr>
            <w:r w:rsidRPr="00F7606D">
              <w:rPr>
                <w:lang w:val="en-GB"/>
              </w:rPr>
              <w:t>EDSS 3</w:t>
            </w:r>
          </w:p>
        </w:tc>
        <w:tc>
          <w:tcPr>
            <w:tcW w:w="1701" w:type="dxa"/>
            <w:noWrap/>
            <w:vAlign w:val="center"/>
            <w:hideMark/>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0.574</w:t>
            </w:r>
          </w:p>
        </w:tc>
        <w:tc>
          <w:tcPr>
            <w:tcW w:w="992"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0.574</w:t>
            </w:r>
          </w:p>
        </w:tc>
        <w:tc>
          <w:tcPr>
            <w:tcW w:w="1134" w:type="dxa"/>
            <w:noWrap/>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0.384</w:t>
            </w:r>
          </w:p>
        </w:tc>
        <w:tc>
          <w:tcPr>
            <w:tcW w:w="2410"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Beta</w:t>
            </w:r>
          </w:p>
        </w:tc>
      </w:tr>
      <w:tr w:rsidR="007B226E" w:rsidRPr="00F7606D" w:rsidTr="00435B8F">
        <w:trPr>
          <w:trHeight w:val="622"/>
        </w:trPr>
        <w:tc>
          <w:tcPr>
            <w:tcW w:w="1985" w:type="dxa"/>
            <w:vAlign w:val="center"/>
          </w:tcPr>
          <w:p w:rsidR="007B226E" w:rsidRPr="00F7606D" w:rsidRDefault="007B226E" w:rsidP="00435B8F">
            <w:pPr>
              <w:pStyle w:val="Tabelltekst"/>
              <w:jc w:val="center"/>
              <w:rPr>
                <w:lang w:val="en-GB"/>
              </w:rPr>
            </w:pPr>
            <w:r w:rsidRPr="00F7606D">
              <w:rPr>
                <w:lang w:val="en-GB"/>
              </w:rPr>
              <w:t>EDSS 4</w:t>
            </w:r>
          </w:p>
        </w:tc>
        <w:tc>
          <w:tcPr>
            <w:tcW w:w="1701" w:type="dxa"/>
            <w:noWrap/>
            <w:vAlign w:val="center"/>
            <w:hideMark/>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0.610</w:t>
            </w:r>
          </w:p>
        </w:tc>
        <w:tc>
          <w:tcPr>
            <w:tcW w:w="992"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0.610</w:t>
            </w:r>
          </w:p>
        </w:tc>
        <w:tc>
          <w:tcPr>
            <w:tcW w:w="1134" w:type="dxa"/>
            <w:noWrap/>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0.428</w:t>
            </w:r>
          </w:p>
        </w:tc>
        <w:tc>
          <w:tcPr>
            <w:tcW w:w="2410"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Beta</w:t>
            </w:r>
          </w:p>
        </w:tc>
      </w:tr>
      <w:tr w:rsidR="007B226E" w:rsidRPr="00F7606D" w:rsidTr="00435B8F">
        <w:trPr>
          <w:trHeight w:val="622"/>
        </w:trPr>
        <w:tc>
          <w:tcPr>
            <w:tcW w:w="1985" w:type="dxa"/>
            <w:vAlign w:val="center"/>
          </w:tcPr>
          <w:p w:rsidR="007B226E" w:rsidRPr="00F7606D" w:rsidRDefault="007B226E" w:rsidP="00435B8F">
            <w:pPr>
              <w:pStyle w:val="Tabelltekst"/>
              <w:jc w:val="center"/>
              <w:rPr>
                <w:lang w:val="en-GB"/>
              </w:rPr>
            </w:pPr>
            <w:r w:rsidRPr="00F7606D">
              <w:rPr>
                <w:lang w:val="en-GB"/>
              </w:rPr>
              <w:t>EDSS 5</w:t>
            </w:r>
          </w:p>
        </w:tc>
        <w:tc>
          <w:tcPr>
            <w:tcW w:w="1701" w:type="dxa"/>
            <w:noWrap/>
            <w:vAlign w:val="center"/>
            <w:hideMark/>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0.518</w:t>
            </w:r>
          </w:p>
        </w:tc>
        <w:tc>
          <w:tcPr>
            <w:tcW w:w="992"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0.518</w:t>
            </w:r>
          </w:p>
        </w:tc>
        <w:tc>
          <w:tcPr>
            <w:tcW w:w="1134" w:type="dxa"/>
            <w:noWrap/>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0.338</w:t>
            </w:r>
          </w:p>
        </w:tc>
        <w:tc>
          <w:tcPr>
            <w:tcW w:w="2410"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 xml:space="preserve">Beta </w:t>
            </w:r>
          </w:p>
        </w:tc>
      </w:tr>
      <w:tr w:rsidR="007B226E" w:rsidRPr="00F7606D" w:rsidTr="00435B8F">
        <w:trPr>
          <w:trHeight w:val="622"/>
        </w:trPr>
        <w:tc>
          <w:tcPr>
            <w:tcW w:w="1985" w:type="dxa"/>
            <w:vAlign w:val="center"/>
          </w:tcPr>
          <w:p w:rsidR="007B226E" w:rsidRPr="00F7606D" w:rsidRDefault="007B226E" w:rsidP="00435B8F">
            <w:pPr>
              <w:pStyle w:val="Tabelltekst"/>
              <w:jc w:val="center"/>
              <w:rPr>
                <w:lang w:val="en-GB"/>
              </w:rPr>
            </w:pPr>
            <w:r w:rsidRPr="00F7606D">
              <w:rPr>
                <w:lang w:val="en-GB"/>
              </w:rPr>
              <w:t>EDSS 6</w:t>
            </w:r>
          </w:p>
        </w:tc>
        <w:tc>
          <w:tcPr>
            <w:tcW w:w="1701" w:type="dxa"/>
            <w:noWrap/>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0.460</w:t>
            </w:r>
          </w:p>
        </w:tc>
        <w:tc>
          <w:tcPr>
            <w:tcW w:w="992"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0.277</w:t>
            </w:r>
          </w:p>
        </w:tc>
        <w:tc>
          <w:tcPr>
            <w:tcW w:w="1134" w:type="dxa"/>
            <w:noWrap/>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0.641</w:t>
            </w:r>
          </w:p>
        </w:tc>
        <w:tc>
          <w:tcPr>
            <w:tcW w:w="2410"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Beta</w:t>
            </w:r>
          </w:p>
        </w:tc>
      </w:tr>
      <w:tr w:rsidR="007B226E" w:rsidRPr="00F7606D" w:rsidTr="00435B8F">
        <w:trPr>
          <w:trHeight w:val="622"/>
        </w:trPr>
        <w:tc>
          <w:tcPr>
            <w:tcW w:w="1985" w:type="dxa"/>
            <w:vAlign w:val="center"/>
          </w:tcPr>
          <w:p w:rsidR="007B226E" w:rsidRPr="00F7606D" w:rsidRDefault="007B226E" w:rsidP="00435B8F">
            <w:pPr>
              <w:pStyle w:val="Tabelltekst"/>
              <w:jc w:val="center"/>
              <w:rPr>
                <w:lang w:val="en-GB"/>
              </w:rPr>
            </w:pPr>
            <w:r w:rsidRPr="00F7606D">
              <w:rPr>
                <w:lang w:val="en-GB"/>
              </w:rPr>
              <w:t>EDSS 7</w:t>
            </w:r>
          </w:p>
        </w:tc>
        <w:tc>
          <w:tcPr>
            <w:tcW w:w="1701" w:type="dxa"/>
            <w:noWrap/>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0.297</w:t>
            </w:r>
          </w:p>
        </w:tc>
        <w:tc>
          <w:tcPr>
            <w:tcW w:w="992"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0.112</w:t>
            </w:r>
          </w:p>
        </w:tc>
        <w:tc>
          <w:tcPr>
            <w:tcW w:w="1134" w:type="dxa"/>
            <w:noWrap/>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0.481</w:t>
            </w:r>
          </w:p>
        </w:tc>
        <w:tc>
          <w:tcPr>
            <w:tcW w:w="2410"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Beta</w:t>
            </w:r>
          </w:p>
        </w:tc>
      </w:tr>
      <w:tr w:rsidR="007B226E" w:rsidRPr="00F7606D" w:rsidTr="00435B8F">
        <w:trPr>
          <w:trHeight w:val="622"/>
        </w:trPr>
        <w:tc>
          <w:tcPr>
            <w:tcW w:w="1985" w:type="dxa"/>
            <w:vAlign w:val="center"/>
          </w:tcPr>
          <w:p w:rsidR="007B226E" w:rsidRPr="00F7606D" w:rsidRDefault="007B226E" w:rsidP="00435B8F">
            <w:pPr>
              <w:pStyle w:val="Tabelltekst"/>
              <w:jc w:val="center"/>
              <w:rPr>
                <w:lang w:val="en-GB"/>
              </w:rPr>
            </w:pPr>
            <w:r w:rsidRPr="00F7606D">
              <w:rPr>
                <w:lang w:val="en-GB"/>
              </w:rPr>
              <w:t>EDSS 8</w:t>
            </w:r>
          </w:p>
        </w:tc>
        <w:tc>
          <w:tcPr>
            <w:tcW w:w="1701" w:type="dxa"/>
            <w:noWrap/>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-0.049</w:t>
            </w:r>
          </w:p>
        </w:tc>
        <w:tc>
          <w:tcPr>
            <w:tcW w:w="992"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-0.235</w:t>
            </w:r>
          </w:p>
        </w:tc>
        <w:tc>
          <w:tcPr>
            <w:tcW w:w="1134" w:type="dxa"/>
            <w:noWrap/>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-0.138</w:t>
            </w:r>
          </w:p>
        </w:tc>
        <w:tc>
          <w:tcPr>
            <w:tcW w:w="2410"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Log-normal</w:t>
            </w:r>
          </w:p>
        </w:tc>
      </w:tr>
      <w:tr w:rsidR="007B226E" w:rsidRPr="00F7606D" w:rsidTr="00435B8F">
        <w:trPr>
          <w:trHeight w:val="622"/>
        </w:trPr>
        <w:tc>
          <w:tcPr>
            <w:tcW w:w="1985" w:type="dxa"/>
            <w:vAlign w:val="center"/>
          </w:tcPr>
          <w:p w:rsidR="007B226E" w:rsidRPr="00F7606D" w:rsidRDefault="007B226E" w:rsidP="00435B8F">
            <w:pPr>
              <w:pStyle w:val="Tabelltekst"/>
              <w:jc w:val="center"/>
              <w:rPr>
                <w:lang w:val="en-GB"/>
              </w:rPr>
            </w:pPr>
            <w:r w:rsidRPr="00F7606D">
              <w:rPr>
                <w:lang w:val="en-GB"/>
              </w:rPr>
              <w:t>EDSS 9</w:t>
            </w:r>
          </w:p>
        </w:tc>
        <w:tc>
          <w:tcPr>
            <w:tcW w:w="1701" w:type="dxa"/>
            <w:noWrap/>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-0.195</w:t>
            </w:r>
          </w:p>
        </w:tc>
        <w:tc>
          <w:tcPr>
            <w:tcW w:w="992"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-0.428</w:t>
            </w:r>
          </w:p>
        </w:tc>
        <w:tc>
          <w:tcPr>
            <w:tcW w:w="1134" w:type="dxa"/>
            <w:noWrap/>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-0.039</w:t>
            </w:r>
          </w:p>
        </w:tc>
        <w:tc>
          <w:tcPr>
            <w:tcW w:w="2410"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Log-normal</w:t>
            </w:r>
          </w:p>
        </w:tc>
      </w:tr>
      <w:tr w:rsidR="007B226E" w:rsidRPr="00F7606D" w:rsidTr="00435B8F">
        <w:trPr>
          <w:trHeight w:val="622"/>
        </w:trPr>
        <w:tc>
          <w:tcPr>
            <w:tcW w:w="1985" w:type="dxa"/>
            <w:vAlign w:val="center"/>
          </w:tcPr>
          <w:p w:rsidR="007B226E" w:rsidRPr="00F7606D" w:rsidRDefault="007B226E" w:rsidP="00435B8F">
            <w:pPr>
              <w:pStyle w:val="Tabelltekst"/>
              <w:jc w:val="center"/>
              <w:rPr>
                <w:lang w:val="en-GB"/>
              </w:rPr>
            </w:pPr>
            <w:r w:rsidRPr="00F7606D">
              <w:rPr>
                <w:lang w:val="en-GB"/>
              </w:rPr>
              <w:t xml:space="preserve">SPMS </w:t>
            </w:r>
            <w:r w:rsidRPr="00F7606D">
              <w:rPr>
                <w:vertAlign w:val="superscript"/>
                <w:lang w:val="en-GB"/>
              </w:rPr>
              <w:t>a</w:t>
            </w:r>
          </w:p>
        </w:tc>
        <w:tc>
          <w:tcPr>
            <w:tcW w:w="1701" w:type="dxa"/>
            <w:noWrap/>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 xml:space="preserve">-0.045 </w:t>
            </w:r>
          </w:p>
        </w:tc>
        <w:tc>
          <w:tcPr>
            <w:tcW w:w="992"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-0.076</w:t>
            </w:r>
          </w:p>
        </w:tc>
        <w:tc>
          <w:tcPr>
            <w:tcW w:w="1134" w:type="dxa"/>
            <w:noWrap/>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w:t>
            </w:r>
            <w:r>
              <w:rPr>
                <w:rFonts w:ascii="Arial Narrow" w:hAnsi="Arial Narrow"/>
                <w:szCs w:val="22"/>
                <w:lang w:val="en-GB"/>
              </w:rPr>
              <w:t>0.</w:t>
            </w:r>
            <w:r w:rsidRPr="00F7606D">
              <w:rPr>
                <w:rFonts w:ascii="Arial Narrow" w:hAnsi="Arial Narrow"/>
                <w:szCs w:val="22"/>
                <w:lang w:val="en-GB"/>
              </w:rPr>
              <w:t>014</w:t>
            </w:r>
          </w:p>
        </w:tc>
        <w:tc>
          <w:tcPr>
            <w:tcW w:w="2410"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Beta or Log-normal</w:t>
            </w:r>
          </w:p>
        </w:tc>
      </w:tr>
      <w:tr w:rsidR="007B226E" w:rsidRPr="00F7606D" w:rsidTr="00435B8F">
        <w:trPr>
          <w:trHeight w:val="622"/>
        </w:trPr>
        <w:tc>
          <w:tcPr>
            <w:tcW w:w="1985" w:type="dxa"/>
            <w:vAlign w:val="center"/>
          </w:tcPr>
          <w:p w:rsidR="007B226E" w:rsidRPr="00F7606D" w:rsidRDefault="007B226E" w:rsidP="00435B8F">
            <w:pPr>
              <w:pStyle w:val="Tabelltekst"/>
              <w:jc w:val="center"/>
              <w:rPr>
                <w:lang w:val="en-GB"/>
              </w:rPr>
            </w:pPr>
            <w:r w:rsidRPr="00F7606D">
              <w:rPr>
                <w:lang w:val="en-GB"/>
              </w:rPr>
              <w:t>Disutility associated with mild or moderate relapse</w:t>
            </w:r>
          </w:p>
        </w:tc>
        <w:tc>
          <w:tcPr>
            <w:tcW w:w="1701" w:type="dxa"/>
            <w:noWrap/>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-0.071</w:t>
            </w:r>
          </w:p>
        </w:tc>
        <w:tc>
          <w:tcPr>
            <w:tcW w:w="992"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-0.096</w:t>
            </w:r>
          </w:p>
        </w:tc>
        <w:tc>
          <w:tcPr>
            <w:tcW w:w="1134" w:type="dxa"/>
            <w:noWrap/>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-0.046</w:t>
            </w:r>
          </w:p>
        </w:tc>
        <w:tc>
          <w:tcPr>
            <w:tcW w:w="2410" w:type="dxa"/>
            <w:tcBorders>
              <w:top w:val="nil"/>
              <w:left w:val="single" w:sz="4" w:space="0" w:color="auto"/>
              <w:bottom w:val="nil"/>
              <w:right w:val="single" w:sz="4" w:space="0" w:color="auto"/>
            </w:tcBorders>
            <w:shd w:val="clear" w:color="auto" w:fill="auto"/>
            <w:vAlign w:val="center"/>
          </w:tcPr>
          <w:p w:rsidR="007B226E" w:rsidRPr="00F7606D" w:rsidRDefault="007B226E" w:rsidP="00435B8F">
            <w:pPr>
              <w:jc w:val="center"/>
              <w:rPr>
                <w:rFonts w:ascii="Calibri" w:hAnsi="Calibri"/>
                <w:color w:val="000000"/>
                <w:szCs w:val="22"/>
                <w:lang w:val="en-GB"/>
              </w:rPr>
            </w:pPr>
            <w:r w:rsidRPr="00F7606D">
              <w:rPr>
                <w:rFonts w:ascii="Arial Narrow" w:hAnsi="Arial Narrow"/>
                <w:szCs w:val="22"/>
                <w:lang w:val="en-GB"/>
              </w:rPr>
              <w:t>Log-normal</w:t>
            </w:r>
          </w:p>
        </w:tc>
      </w:tr>
      <w:tr w:rsidR="007B226E" w:rsidRPr="00F7606D" w:rsidTr="00435B8F">
        <w:trPr>
          <w:trHeight w:val="622"/>
        </w:trPr>
        <w:tc>
          <w:tcPr>
            <w:tcW w:w="1985" w:type="dxa"/>
            <w:vAlign w:val="center"/>
          </w:tcPr>
          <w:p w:rsidR="007B226E" w:rsidRPr="00F7606D" w:rsidRDefault="007B226E" w:rsidP="00435B8F">
            <w:pPr>
              <w:pStyle w:val="Tabelltekst"/>
              <w:jc w:val="center"/>
              <w:rPr>
                <w:lang w:val="en-GB"/>
              </w:rPr>
            </w:pPr>
            <w:r w:rsidRPr="00F7606D">
              <w:rPr>
                <w:lang w:val="en-GB"/>
              </w:rPr>
              <w:t>Disutility associated with severe relapse</w:t>
            </w:r>
            <w:r w:rsidRPr="00F7606D">
              <w:rPr>
                <w:vertAlign w:val="superscript"/>
                <w:lang w:val="en-GB"/>
              </w:rPr>
              <w:t xml:space="preserve"> b</w:t>
            </w:r>
          </w:p>
        </w:tc>
        <w:tc>
          <w:tcPr>
            <w:tcW w:w="1701" w:type="dxa"/>
            <w:noWrap/>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-0.236</w:t>
            </w:r>
          </w:p>
        </w:tc>
        <w:tc>
          <w:tcPr>
            <w:tcW w:w="992"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-0.295</w:t>
            </w:r>
          </w:p>
        </w:tc>
        <w:tc>
          <w:tcPr>
            <w:tcW w:w="1134" w:type="dxa"/>
            <w:noWrap/>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-0.174</w:t>
            </w:r>
          </w:p>
        </w:tc>
        <w:tc>
          <w:tcPr>
            <w:tcW w:w="2410"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Log-normal</w:t>
            </w:r>
          </w:p>
        </w:tc>
      </w:tr>
      <w:tr w:rsidR="007B226E" w:rsidRPr="00F7606D" w:rsidTr="00435B8F">
        <w:trPr>
          <w:trHeight w:val="622"/>
        </w:trPr>
        <w:tc>
          <w:tcPr>
            <w:tcW w:w="1985" w:type="dxa"/>
            <w:vAlign w:val="center"/>
          </w:tcPr>
          <w:p w:rsidR="007B226E" w:rsidRPr="00F7606D" w:rsidRDefault="007B226E" w:rsidP="00435B8F">
            <w:pPr>
              <w:pStyle w:val="Tabelltekst"/>
              <w:jc w:val="center"/>
              <w:rPr>
                <w:lang w:val="en-GB"/>
              </w:rPr>
            </w:pPr>
            <w:r w:rsidRPr="00F7606D">
              <w:rPr>
                <w:lang w:val="en-GB"/>
              </w:rPr>
              <w:t xml:space="preserve">Disability associated with PML </w:t>
            </w:r>
            <w:r w:rsidRPr="00F7606D">
              <w:rPr>
                <w:vertAlign w:val="superscript"/>
                <w:lang w:val="en-GB"/>
              </w:rPr>
              <w:t>c</w:t>
            </w:r>
          </w:p>
        </w:tc>
        <w:tc>
          <w:tcPr>
            <w:tcW w:w="1701" w:type="dxa"/>
            <w:noWrap/>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-0.40</w:t>
            </w:r>
          </w:p>
        </w:tc>
        <w:tc>
          <w:tcPr>
            <w:tcW w:w="992"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-0.30</w:t>
            </w:r>
          </w:p>
        </w:tc>
        <w:tc>
          <w:tcPr>
            <w:tcW w:w="1134" w:type="dxa"/>
            <w:noWrap/>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-0.50</w:t>
            </w:r>
          </w:p>
        </w:tc>
        <w:tc>
          <w:tcPr>
            <w:tcW w:w="2410" w:type="dxa"/>
            <w:vAlign w:val="center"/>
          </w:tcPr>
          <w:p w:rsidR="007B226E" w:rsidRPr="00F7606D" w:rsidRDefault="007B226E" w:rsidP="00435B8F">
            <w:pPr>
              <w:jc w:val="center"/>
              <w:rPr>
                <w:rFonts w:ascii="Arial Narrow" w:hAnsi="Arial Narrow"/>
                <w:szCs w:val="22"/>
                <w:lang w:val="en-GB"/>
              </w:rPr>
            </w:pPr>
            <w:r w:rsidRPr="00F7606D">
              <w:rPr>
                <w:rFonts w:ascii="Arial Narrow" w:hAnsi="Arial Narrow"/>
                <w:szCs w:val="22"/>
                <w:lang w:val="en-GB"/>
              </w:rPr>
              <w:t>Log-normal</w:t>
            </w:r>
          </w:p>
        </w:tc>
      </w:tr>
    </w:tbl>
    <w:p w:rsidR="007B226E" w:rsidRPr="00F7606D" w:rsidRDefault="007B226E" w:rsidP="007B226E">
      <w:pPr>
        <w:autoSpaceDE w:val="0"/>
        <w:autoSpaceDN w:val="0"/>
        <w:adjustRightInd w:val="0"/>
        <w:spacing w:line="240" w:lineRule="auto"/>
        <w:rPr>
          <w:rFonts w:ascii="Arial Narrow" w:hAnsi="Arial Narrow" w:cs="GillSans-Bold"/>
          <w:bCs/>
          <w:sz w:val="20"/>
          <w:szCs w:val="20"/>
        </w:rPr>
      </w:pPr>
      <w:r w:rsidRPr="00F7606D">
        <w:rPr>
          <w:rFonts w:ascii="Arial Narrow" w:hAnsi="Arial Narrow" w:cs="GillSans-Bold"/>
          <w:bCs/>
          <w:sz w:val="20"/>
          <w:szCs w:val="20"/>
        </w:rPr>
        <w:t xml:space="preserve">CI: confidence interval; EDSS: Expanded Disability Status Scale; SPMS: Secondary Progressive MS </w:t>
      </w:r>
    </w:p>
    <w:p w:rsidR="007B226E" w:rsidRPr="00F7606D" w:rsidRDefault="007B226E" w:rsidP="007B226E">
      <w:pPr>
        <w:autoSpaceDE w:val="0"/>
        <w:autoSpaceDN w:val="0"/>
        <w:adjustRightInd w:val="0"/>
        <w:spacing w:line="240" w:lineRule="auto"/>
        <w:rPr>
          <w:rFonts w:ascii="Arial Narrow" w:hAnsi="Arial Narrow" w:cs="GillSans-Bold"/>
          <w:bCs/>
          <w:sz w:val="20"/>
          <w:szCs w:val="20"/>
        </w:rPr>
      </w:pPr>
      <w:r w:rsidRPr="001E0F19">
        <w:rPr>
          <w:rFonts w:ascii="Arial Narrow" w:hAnsi="Arial Narrow" w:cs="GillSans-Bold"/>
          <w:bCs/>
          <w:sz w:val="20"/>
          <w:szCs w:val="20"/>
          <w:vertAlign w:val="superscript"/>
        </w:rPr>
        <w:t>a</w:t>
      </w:r>
      <w:r w:rsidRPr="00F7606D">
        <w:rPr>
          <w:rFonts w:ascii="Arial Narrow" w:hAnsi="Arial Narrow" w:cs="GillSans-Bold"/>
          <w:bCs/>
          <w:sz w:val="20"/>
          <w:szCs w:val="20"/>
        </w:rPr>
        <w:t xml:space="preserve"> Assumed fixed utility decrement over the corresponding RRMS EDSS state utility values.</w:t>
      </w:r>
    </w:p>
    <w:p w:rsidR="007B226E" w:rsidRPr="00F7606D" w:rsidRDefault="007B226E" w:rsidP="007B226E">
      <w:pPr>
        <w:autoSpaceDE w:val="0"/>
        <w:autoSpaceDN w:val="0"/>
        <w:adjustRightInd w:val="0"/>
        <w:spacing w:line="240" w:lineRule="auto"/>
        <w:rPr>
          <w:rFonts w:ascii="Arial Narrow" w:hAnsi="Arial Narrow" w:cs="GillSans-Bold"/>
          <w:bCs/>
          <w:sz w:val="20"/>
          <w:szCs w:val="20"/>
        </w:rPr>
      </w:pPr>
      <w:r w:rsidRPr="00F7606D">
        <w:rPr>
          <w:rFonts w:ascii="Arial Narrow" w:hAnsi="Arial Narrow" w:cs="GillSans-Bold"/>
          <w:bCs/>
          <w:sz w:val="20"/>
          <w:szCs w:val="20"/>
          <w:vertAlign w:val="superscript"/>
        </w:rPr>
        <w:t xml:space="preserve">b </w:t>
      </w:r>
      <w:r w:rsidRPr="00F7606D">
        <w:rPr>
          <w:rFonts w:ascii="Arial Narrow" w:hAnsi="Arial Narrow" w:cs="GillSans-Bold"/>
          <w:bCs/>
          <w:sz w:val="20"/>
          <w:szCs w:val="20"/>
        </w:rPr>
        <w:t>It was estimated based on the data reported by Orme et al.</w:t>
      </w:r>
      <w:r w:rsidR="00EE0715">
        <w:rPr>
          <w:rFonts w:ascii="Arial Narrow" w:hAnsi="Arial Narrow" w:cs="GillSans-Bold"/>
          <w:bCs/>
          <w:sz w:val="20"/>
          <w:szCs w:val="20"/>
        </w:rPr>
        <w:t xml:space="preserve"> 2007 </w:t>
      </w:r>
      <w:r w:rsidRPr="00F7606D">
        <w:rPr>
          <w:rFonts w:ascii="Arial Narrow" w:hAnsi="Arial Narrow" w:cs="GillSans-Bold"/>
          <w:bCs/>
          <w:sz w:val="20"/>
          <w:szCs w:val="20"/>
        </w:rPr>
        <w:t>and Prosser et al.</w:t>
      </w:r>
      <w:r w:rsidR="00EE0715">
        <w:rPr>
          <w:rFonts w:ascii="Arial Narrow" w:hAnsi="Arial Narrow" w:cs="GillSans-Bold"/>
          <w:bCs/>
          <w:sz w:val="20"/>
          <w:szCs w:val="20"/>
        </w:rPr>
        <w:t xml:space="preserve"> 2004</w:t>
      </w:r>
      <w:r w:rsidRPr="00F7606D">
        <w:rPr>
          <w:rFonts w:ascii="Arial Narrow" w:hAnsi="Arial Narrow" w:cs="GillSans-Bold"/>
          <w:bCs/>
          <w:sz w:val="20"/>
          <w:szCs w:val="20"/>
        </w:rPr>
        <w:t>.</w:t>
      </w:r>
    </w:p>
    <w:p w:rsidR="007B226E" w:rsidRPr="00EE0715" w:rsidRDefault="007B226E" w:rsidP="007B226E">
      <w:pPr>
        <w:autoSpaceDE w:val="0"/>
        <w:autoSpaceDN w:val="0"/>
        <w:adjustRightInd w:val="0"/>
        <w:spacing w:line="240" w:lineRule="auto"/>
        <w:rPr>
          <w:rFonts w:ascii="Arial Narrow" w:hAnsi="Arial Narrow" w:cs="GillSans-Bold"/>
          <w:bCs/>
          <w:sz w:val="20"/>
          <w:szCs w:val="20"/>
        </w:rPr>
      </w:pPr>
      <w:r w:rsidRPr="001E0F19">
        <w:rPr>
          <w:rFonts w:ascii="Arial Narrow" w:hAnsi="Arial Narrow" w:cs="GillSans-Bold"/>
          <w:bCs/>
          <w:sz w:val="20"/>
          <w:szCs w:val="20"/>
          <w:vertAlign w:val="superscript"/>
        </w:rPr>
        <w:t>c</w:t>
      </w:r>
      <w:r w:rsidRPr="00EE0715">
        <w:rPr>
          <w:rFonts w:ascii="Arial Narrow" w:hAnsi="Arial Narrow" w:cs="GillSans-Bold"/>
          <w:bCs/>
          <w:sz w:val="20"/>
          <w:szCs w:val="20"/>
        </w:rPr>
        <w:t xml:space="preserve"> </w:t>
      </w:r>
      <w:r w:rsidRPr="00F7606D">
        <w:rPr>
          <w:rFonts w:ascii="Arial Narrow" w:hAnsi="Arial Narrow" w:cs="GillSans-Bold"/>
          <w:bCs/>
          <w:sz w:val="20"/>
          <w:szCs w:val="20"/>
        </w:rPr>
        <w:t>Ref:</w:t>
      </w:r>
      <w:r w:rsidR="00EE0715">
        <w:rPr>
          <w:rFonts w:ascii="Arial Narrow" w:hAnsi="Arial Narrow" w:cs="GillSans-Bold"/>
          <w:bCs/>
          <w:sz w:val="20"/>
          <w:szCs w:val="20"/>
        </w:rPr>
        <w:t xml:space="preserve"> </w:t>
      </w:r>
      <w:r w:rsidR="00EE0715" w:rsidRPr="00EE0715">
        <w:rPr>
          <w:rFonts w:ascii="Arial Narrow" w:hAnsi="Arial Narrow" w:cs="GillSans-Bold"/>
          <w:bCs/>
          <w:sz w:val="20"/>
          <w:szCs w:val="20"/>
        </w:rPr>
        <w:t xml:space="preserve">Campbellet al. 2013 </w:t>
      </w:r>
    </w:p>
    <w:p w:rsidR="0021476C" w:rsidRPr="007B226E" w:rsidRDefault="0021476C">
      <w:pPr>
        <w:rPr>
          <w:rFonts w:ascii="Times New Roman" w:eastAsia="Times New Roman" w:hAnsi="Times New Roman" w:cs="Times New Roman"/>
          <w:b/>
          <w:bCs/>
          <w:sz w:val="28"/>
          <w:szCs w:val="28"/>
        </w:rPr>
      </w:pPr>
      <w:r w:rsidRPr="007B226E">
        <w:rPr>
          <w:rFonts w:ascii="Times New Roman" w:hAnsi="Times New Roman" w:cs="Times New Roman"/>
          <w:sz w:val="28"/>
        </w:rPr>
        <w:br w:type="page"/>
      </w:r>
    </w:p>
    <w:p w:rsidR="00EA7D99" w:rsidRDefault="00EA7D99" w:rsidP="00EA7D99">
      <w:pPr>
        <w:pStyle w:val="20"/>
        <w:numPr>
          <w:ilvl w:val="0"/>
          <w:numId w:val="0"/>
        </w:numPr>
        <w:jc w:val="both"/>
        <w:rPr>
          <w:rFonts w:ascii="Times New Roman" w:hAnsi="Times New Roman" w:cs="Times New Roman"/>
          <w:sz w:val="28"/>
        </w:rPr>
      </w:pPr>
      <w:r w:rsidRPr="00EA7D99">
        <w:rPr>
          <w:rFonts w:ascii="Times New Roman" w:hAnsi="Times New Roman" w:cs="Times New Roman"/>
          <w:sz w:val="28"/>
        </w:rPr>
        <w:t xml:space="preserve">Supplementary material </w:t>
      </w:r>
      <w:r w:rsidR="000D044E">
        <w:rPr>
          <w:rFonts w:ascii="Times New Roman" w:hAnsi="Times New Roman" w:cs="Times New Roman"/>
          <w:sz w:val="28"/>
        </w:rPr>
        <w:t>8</w:t>
      </w:r>
      <w:r w:rsidRPr="00EA7D99">
        <w:rPr>
          <w:rFonts w:ascii="Times New Roman" w:hAnsi="Times New Roman" w:cs="Times New Roman"/>
          <w:sz w:val="28"/>
        </w:rPr>
        <w:t xml:space="preserve"> Overview of the included studies</w:t>
      </w:r>
    </w:p>
    <w:p w:rsidR="00EA7D99" w:rsidRPr="00EA7D99" w:rsidRDefault="00EA7D99" w:rsidP="00EA7D99">
      <w:r w:rsidRPr="00235544">
        <w:rPr>
          <w:b/>
          <w:i/>
        </w:rPr>
        <w:t xml:space="preserve">Table </w:t>
      </w:r>
      <w:r w:rsidR="00C92EA7">
        <w:rPr>
          <w:b/>
          <w:i/>
        </w:rPr>
        <w:t>7.</w:t>
      </w:r>
      <w:r>
        <w:rPr>
          <w:b/>
          <w:i/>
        </w:rPr>
        <w:t>1</w:t>
      </w:r>
      <w:r w:rsidRPr="00235544">
        <w:rPr>
          <w:b/>
          <w:i/>
        </w:rPr>
        <w:t>.</w:t>
      </w:r>
      <w:r w:rsidRPr="00235544">
        <w:rPr>
          <w:i/>
        </w:rPr>
        <w:t xml:space="preserve"> Characteristics of the included HTA report</w:t>
      </w:r>
      <w:r w:rsidR="001E0F19">
        <w:rPr>
          <w:i/>
        </w:rPr>
        <w:t xml:space="preserve"> (</w:t>
      </w:r>
      <w:r w:rsidR="001E0F19" w:rsidRPr="001E0F19">
        <w:rPr>
          <w:i/>
        </w:rPr>
        <w:t>Tran K, et al. Comparative clinical and cost effectiveness of drug therapies for relapsing-remitting multiple sclerosis: PROSPERO/ CADTH; 2013.</w:t>
      </w:r>
      <w:r w:rsidR="001E0F19">
        <w:rPr>
          <w:i/>
        </w:rPr>
        <w:t>)</w:t>
      </w:r>
    </w:p>
    <w:tbl>
      <w:tblPr>
        <w:tblStyle w:val="afff"/>
        <w:tblW w:w="9351" w:type="dxa"/>
        <w:tblLook w:val="04A0"/>
      </w:tblPr>
      <w:tblGrid>
        <w:gridCol w:w="3539"/>
        <w:gridCol w:w="5812"/>
      </w:tblGrid>
      <w:tr w:rsidR="00EA7D99" w:rsidRPr="00685670" w:rsidTr="00EA7D99">
        <w:tc>
          <w:tcPr>
            <w:tcW w:w="3539"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326" w:lineRule="exact"/>
              <w:rPr>
                <w:b/>
                <w:szCs w:val="22"/>
                <w:lang w:val="en-GB"/>
              </w:rPr>
            </w:pPr>
            <w:r w:rsidRPr="00F7606D">
              <w:rPr>
                <w:b/>
                <w:szCs w:val="22"/>
                <w:lang w:val="en-GB"/>
              </w:rPr>
              <w:t>Study types included</w:t>
            </w:r>
          </w:p>
        </w:tc>
        <w:tc>
          <w:tcPr>
            <w:tcW w:w="5812"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jc w:val="both"/>
              <w:rPr>
                <w:rFonts w:eastAsiaTheme="minorHAnsi"/>
                <w:szCs w:val="22"/>
                <w:lang w:val="en-GB" w:eastAsia="en-US"/>
              </w:rPr>
            </w:pPr>
            <w:r w:rsidRPr="00F7606D">
              <w:rPr>
                <w:rFonts w:eastAsiaTheme="minorHAnsi"/>
                <w:szCs w:val="22"/>
                <w:lang w:val="en-GB" w:eastAsia="en-US"/>
              </w:rPr>
              <w:t>RCTs (Number of included monotherapy RCTs: 26)</w:t>
            </w:r>
          </w:p>
        </w:tc>
      </w:tr>
      <w:tr w:rsidR="00EA7D99" w:rsidRPr="00F7606D" w:rsidTr="00EA7D99">
        <w:tc>
          <w:tcPr>
            <w:tcW w:w="3539"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326" w:lineRule="exact"/>
              <w:rPr>
                <w:b/>
                <w:szCs w:val="22"/>
                <w:lang w:val="en-GB"/>
              </w:rPr>
            </w:pPr>
            <w:r w:rsidRPr="00F7606D">
              <w:rPr>
                <w:b/>
                <w:szCs w:val="22"/>
                <w:lang w:val="en-GB"/>
              </w:rPr>
              <w:t xml:space="preserve">Participants </w:t>
            </w:r>
          </w:p>
        </w:tc>
        <w:tc>
          <w:tcPr>
            <w:tcW w:w="5812"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jc w:val="both"/>
              <w:rPr>
                <w:szCs w:val="22"/>
                <w:lang w:val="en-GB"/>
              </w:rPr>
            </w:pPr>
            <w:r w:rsidRPr="00F7606D">
              <w:rPr>
                <w:szCs w:val="22"/>
                <w:lang w:val="en-GB"/>
              </w:rPr>
              <w:t xml:space="preserve">- All studies included patients with RRMS. One study included patients with clinically isolated syndrome (CIS), one study included patients with progressive-relapsing MS (PRMS), one study included patients with secondary-progressive, and one study included patients with secondary-progressive MS and progressive-relapsing MS. </w:t>
            </w:r>
          </w:p>
          <w:p w:rsidR="00EA7D99" w:rsidRPr="00F7606D" w:rsidRDefault="00EA7D99" w:rsidP="00EA7D99">
            <w:pPr>
              <w:tabs>
                <w:tab w:val="clear" w:pos="510"/>
              </w:tabs>
              <w:autoSpaceDE w:val="0"/>
              <w:autoSpaceDN w:val="0"/>
              <w:adjustRightInd w:val="0"/>
              <w:spacing w:line="240" w:lineRule="auto"/>
              <w:jc w:val="both"/>
              <w:rPr>
                <w:rFonts w:eastAsiaTheme="minorHAnsi" w:cs="AdvP641C"/>
                <w:szCs w:val="22"/>
                <w:lang w:val="en-GB" w:eastAsia="en-US"/>
              </w:rPr>
            </w:pPr>
            <w:r w:rsidRPr="00F7606D">
              <w:rPr>
                <w:szCs w:val="22"/>
                <w:lang w:val="en-GB"/>
              </w:rPr>
              <w:t xml:space="preserve">- </w:t>
            </w:r>
            <w:r w:rsidRPr="00F7606D">
              <w:rPr>
                <w:rFonts w:eastAsiaTheme="minorHAnsi" w:cs="AdvP641C"/>
                <w:szCs w:val="22"/>
                <w:lang w:val="en-GB" w:eastAsia="en-US"/>
              </w:rPr>
              <w:t xml:space="preserve">Randomized sample size: 75 to 1430. </w:t>
            </w:r>
          </w:p>
          <w:p w:rsidR="00EA7D99" w:rsidRPr="00F7606D" w:rsidRDefault="00EA7D99" w:rsidP="00EA7D99">
            <w:pPr>
              <w:tabs>
                <w:tab w:val="clear" w:pos="510"/>
              </w:tabs>
              <w:autoSpaceDE w:val="0"/>
              <w:autoSpaceDN w:val="0"/>
              <w:adjustRightInd w:val="0"/>
              <w:spacing w:line="240" w:lineRule="auto"/>
              <w:jc w:val="both"/>
              <w:rPr>
                <w:rFonts w:eastAsiaTheme="minorHAnsi" w:cs="AdvP641C"/>
                <w:szCs w:val="22"/>
                <w:lang w:val="en-GB" w:eastAsia="en-US"/>
              </w:rPr>
            </w:pPr>
            <w:r w:rsidRPr="00F7606D">
              <w:rPr>
                <w:szCs w:val="22"/>
                <w:lang w:val="en-GB"/>
              </w:rPr>
              <w:t>- Female participants: 64% to 84%</w:t>
            </w:r>
          </w:p>
          <w:p w:rsidR="00EA7D99" w:rsidRPr="00F7606D" w:rsidRDefault="00EA7D99" w:rsidP="00EA7D99">
            <w:pPr>
              <w:tabs>
                <w:tab w:val="clear" w:pos="510"/>
              </w:tabs>
              <w:autoSpaceDE w:val="0"/>
              <w:autoSpaceDN w:val="0"/>
              <w:adjustRightInd w:val="0"/>
              <w:spacing w:line="240" w:lineRule="auto"/>
              <w:jc w:val="both"/>
              <w:rPr>
                <w:rFonts w:eastAsiaTheme="minorHAnsi" w:cs="AdvP641C"/>
                <w:szCs w:val="22"/>
                <w:lang w:val="en-GB" w:eastAsia="en-US"/>
              </w:rPr>
            </w:pPr>
            <w:r w:rsidRPr="00F7606D">
              <w:rPr>
                <w:szCs w:val="22"/>
                <w:lang w:val="en-GB"/>
              </w:rPr>
              <w:t>- Mean age: 29 to 41 years</w:t>
            </w:r>
          </w:p>
        </w:tc>
      </w:tr>
      <w:tr w:rsidR="00EA7D99" w:rsidRPr="00B4105F" w:rsidTr="00EA7D99">
        <w:tc>
          <w:tcPr>
            <w:tcW w:w="3539"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326" w:lineRule="exact"/>
              <w:rPr>
                <w:b/>
                <w:szCs w:val="22"/>
                <w:lang w:val="en-GB"/>
              </w:rPr>
            </w:pPr>
            <w:r w:rsidRPr="00F7606D">
              <w:rPr>
                <w:b/>
                <w:szCs w:val="22"/>
                <w:lang w:val="en-GB"/>
              </w:rPr>
              <w:t>Intervention (number of unique RCTs)</w:t>
            </w:r>
          </w:p>
        </w:tc>
        <w:tc>
          <w:tcPr>
            <w:tcW w:w="5812"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jc w:val="both"/>
              <w:rPr>
                <w:szCs w:val="22"/>
                <w:lang w:val="en-GB"/>
              </w:rPr>
            </w:pPr>
            <w:r w:rsidRPr="00F7606D">
              <w:rPr>
                <w:szCs w:val="22"/>
                <w:lang w:val="en-GB"/>
              </w:rPr>
              <w:t>Alemtuzumab (three)</w:t>
            </w:r>
          </w:p>
          <w:p w:rsidR="00EA7D99" w:rsidRPr="00F7606D" w:rsidRDefault="00EA7D99" w:rsidP="00EA7D99">
            <w:pPr>
              <w:tabs>
                <w:tab w:val="clear" w:pos="510"/>
              </w:tabs>
              <w:autoSpaceDE w:val="0"/>
              <w:autoSpaceDN w:val="0"/>
              <w:adjustRightInd w:val="0"/>
              <w:spacing w:line="240" w:lineRule="auto"/>
              <w:jc w:val="both"/>
              <w:rPr>
                <w:szCs w:val="22"/>
                <w:lang w:val="en-GB"/>
              </w:rPr>
            </w:pPr>
            <w:r w:rsidRPr="00F7606D">
              <w:rPr>
                <w:szCs w:val="22"/>
                <w:lang w:val="en-GB"/>
              </w:rPr>
              <w:t>Dimethyl fumarate (two)</w:t>
            </w:r>
          </w:p>
          <w:p w:rsidR="00EA7D99" w:rsidRPr="00F7606D" w:rsidRDefault="00EA7D99" w:rsidP="00EA7D99">
            <w:pPr>
              <w:tabs>
                <w:tab w:val="clear" w:pos="510"/>
              </w:tabs>
              <w:autoSpaceDE w:val="0"/>
              <w:autoSpaceDN w:val="0"/>
              <w:adjustRightInd w:val="0"/>
              <w:spacing w:line="240" w:lineRule="auto"/>
              <w:jc w:val="both"/>
              <w:rPr>
                <w:szCs w:val="22"/>
                <w:lang w:val="en-GB"/>
              </w:rPr>
            </w:pPr>
            <w:r w:rsidRPr="00F7606D">
              <w:rPr>
                <w:szCs w:val="22"/>
                <w:lang w:val="en-GB"/>
              </w:rPr>
              <w:t>Fingolimod (three)</w:t>
            </w:r>
          </w:p>
          <w:p w:rsidR="00EA7D99" w:rsidRPr="00F7606D" w:rsidRDefault="00EA7D99" w:rsidP="00EA7D99">
            <w:pPr>
              <w:tabs>
                <w:tab w:val="clear" w:pos="510"/>
              </w:tabs>
              <w:autoSpaceDE w:val="0"/>
              <w:autoSpaceDN w:val="0"/>
              <w:adjustRightInd w:val="0"/>
              <w:spacing w:line="240" w:lineRule="auto"/>
              <w:jc w:val="both"/>
              <w:rPr>
                <w:szCs w:val="22"/>
                <w:lang w:val="en-GB"/>
              </w:rPr>
            </w:pPr>
            <w:r w:rsidRPr="00F7606D">
              <w:rPr>
                <w:szCs w:val="22"/>
                <w:lang w:val="en-GB"/>
              </w:rPr>
              <w:t>Glatiramer acetate (eight)</w:t>
            </w:r>
          </w:p>
          <w:p w:rsidR="00EA7D99" w:rsidRPr="00F7606D" w:rsidRDefault="00EA7D99" w:rsidP="00EA7D99">
            <w:pPr>
              <w:tabs>
                <w:tab w:val="clear" w:pos="510"/>
              </w:tabs>
              <w:autoSpaceDE w:val="0"/>
              <w:autoSpaceDN w:val="0"/>
              <w:adjustRightInd w:val="0"/>
              <w:spacing w:line="240" w:lineRule="auto"/>
              <w:jc w:val="both"/>
              <w:rPr>
                <w:szCs w:val="22"/>
                <w:lang w:val="en-GB"/>
              </w:rPr>
            </w:pPr>
            <w:r w:rsidRPr="00F7606D">
              <w:rPr>
                <w:szCs w:val="22"/>
                <w:lang w:val="en-GB"/>
              </w:rPr>
              <w:t>Interferon beta-1a subcutaneous (nine)</w:t>
            </w:r>
          </w:p>
          <w:p w:rsidR="00EA7D99" w:rsidRPr="00F7606D" w:rsidRDefault="00EA7D99" w:rsidP="00EA7D99">
            <w:pPr>
              <w:tabs>
                <w:tab w:val="clear" w:pos="510"/>
              </w:tabs>
              <w:autoSpaceDE w:val="0"/>
              <w:autoSpaceDN w:val="0"/>
              <w:adjustRightInd w:val="0"/>
              <w:spacing w:line="240" w:lineRule="auto"/>
              <w:jc w:val="both"/>
              <w:rPr>
                <w:szCs w:val="22"/>
                <w:lang w:val="en-GB"/>
              </w:rPr>
            </w:pPr>
            <w:r w:rsidRPr="00F7606D">
              <w:rPr>
                <w:szCs w:val="22"/>
                <w:lang w:val="en-GB"/>
              </w:rPr>
              <w:t>Interferon beta-1a intramuscular (nine)</w:t>
            </w:r>
          </w:p>
          <w:p w:rsidR="00EA7D99" w:rsidRPr="00F7606D" w:rsidRDefault="00EA7D99" w:rsidP="00EA7D99">
            <w:pPr>
              <w:tabs>
                <w:tab w:val="clear" w:pos="510"/>
              </w:tabs>
              <w:autoSpaceDE w:val="0"/>
              <w:autoSpaceDN w:val="0"/>
              <w:adjustRightInd w:val="0"/>
              <w:spacing w:line="240" w:lineRule="auto"/>
              <w:jc w:val="both"/>
              <w:rPr>
                <w:szCs w:val="22"/>
                <w:lang w:val="en-GB"/>
              </w:rPr>
            </w:pPr>
            <w:r w:rsidRPr="00F7606D">
              <w:rPr>
                <w:szCs w:val="22"/>
                <w:lang w:val="en-GB"/>
              </w:rPr>
              <w:t>Interferon beta-1b (five)</w:t>
            </w:r>
          </w:p>
          <w:p w:rsidR="00EA7D99" w:rsidRPr="00F7606D" w:rsidRDefault="00EA7D99" w:rsidP="00EA7D99">
            <w:pPr>
              <w:tabs>
                <w:tab w:val="clear" w:pos="510"/>
              </w:tabs>
              <w:autoSpaceDE w:val="0"/>
              <w:autoSpaceDN w:val="0"/>
              <w:adjustRightInd w:val="0"/>
              <w:spacing w:line="240" w:lineRule="auto"/>
              <w:jc w:val="both"/>
              <w:rPr>
                <w:szCs w:val="22"/>
                <w:lang w:val="en-GB"/>
              </w:rPr>
            </w:pPr>
            <w:r w:rsidRPr="00F7606D">
              <w:rPr>
                <w:szCs w:val="22"/>
                <w:lang w:val="en-GB"/>
              </w:rPr>
              <w:t>Natalizumab (one)</w:t>
            </w:r>
          </w:p>
          <w:p w:rsidR="00EA7D99" w:rsidRPr="00F7606D" w:rsidRDefault="00EA7D99" w:rsidP="00EA7D99">
            <w:pPr>
              <w:tabs>
                <w:tab w:val="clear" w:pos="510"/>
              </w:tabs>
              <w:autoSpaceDE w:val="0"/>
              <w:autoSpaceDN w:val="0"/>
              <w:adjustRightInd w:val="0"/>
              <w:spacing w:line="240" w:lineRule="auto"/>
              <w:jc w:val="both"/>
              <w:rPr>
                <w:rFonts w:eastAsiaTheme="minorHAnsi" w:cs="AdvP641C"/>
                <w:szCs w:val="22"/>
                <w:lang w:val="en-GB" w:eastAsia="en-US"/>
              </w:rPr>
            </w:pPr>
            <w:r w:rsidRPr="00F7606D">
              <w:rPr>
                <w:szCs w:val="22"/>
                <w:lang w:val="en-GB"/>
              </w:rPr>
              <w:t>Teriflunomide (two)</w:t>
            </w:r>
          </w:p>
        </w:tc>
      </w:tr>
      <w:tr w:rsidR="00EA7D99" w:rsidRPr="00685670" w:rsidTr="00EA7D99">
        <w:tc>
          <w:tcPr>
            <w:tcW w:w="3539"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326" w:lineRule="exact"/>
              <w:rPr>
                <w:b/>
                <w:szCs w:val="22"/>
                <w:lang w:val="en-GB"/>
              </w:rPr>
            </w:pPr>
            <w:r w:rsidRPr="00F7606D">
              <w:rPr>
                <w:b/>
                <w:szCs w:val="22"/>
                <w:lang w:val="en-GB"/>
              </w:rPr>
              <w:t>Comparison</w:t>
            </w:r>
          </w:p>
        </w:tc>
        <w:tc>
          <w:tcPr>
            <w:tcW w:w="5812"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jc w:val="both"/>
              <w:rPr>
                <w:rFonts w:eastAsiaTheme="minorHAnsi" w:cs="AdvP641C"/>
                <w:szCs w:val="22"/>
                <w:lang w:val="en-GB" w:eastAsia="en-US"/>
              </w:rPr>
            </w:pPr>
            <w:r w:rsidRPr="00F7606D">
              <w:rPr>
                <w:rFonts w:eastAsiaTheme="minorHAnsi" w:cs="AdvP641C"/>
                <w:szCs w:val="22"/>
                <w:lang w:val="en-GB" w:eastAsia="en-US"/>
              </w:rPr>
              <w:t>Placebo</w:t>
            </w:r>
          </w:p>
          <w:p w:rsidR="00EA7D99" w:rsidRPr="00F7606D" w:rsidRDefault="00EA7D99" w:rsidP="00EA7D99">
            <w:pPr>
              <w:tabs>
                <w:tab w:val="clear" w:pos="510"/>
              </w:tabs>
              <w:autoSpaceDE w:val="0"/>
              <w:autoSpaceDN w:val="0"/>
              <w:adjustRightInd w:val="0"/>
              <w:spacing w:line="240" w:lineRule="auto"/>
              <w:jc w:val="both"/>
              <w:rPr>
                <w:rFonts w:eastAsiaTheme="minorHAnsi" w:cs="AdvP641C"/>
                <w:szCs w:val="22"/>
                <w:lang w:val="en-GB" w:eastAsia="en-US"/>
              </w:rPr>
            </w:pPr>
            <w:r w:rsidRPr="00F7606D">
              <w:rPr>
                <w:rFonts w:eastAsiaTheme="minorHAnsi" w:cs="AdvP641C"/>
                <w:szCs w:val="22"/>
                <w:lang w:val="en-GB" w:eastAsia="en-US"/>
              </w:rPr>
              <w:t>One of the drugs listed above</w:t>
            </w:r>
          </w:p>
        </w:tc>
      </w:tr>
      <w:tr w:rsidR="00EA7D99" w:rsidRPr="00B4105F" w:rsidTr="00EA7D99">
        <w:tc>
          <w:tcPr>
            <w:tcW w:w="3539"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326" w:lineRule="exact"/>
              <w:rPr>
                <w:b/>
                <w:szCs w:val="22"/>
                <w:lang w:val="en-GB"/>
              </w:rPr>
            </w:pPr>
            <w:r w:rsidRPr="00F7606D">
              <w:rPr>
                <w:b/>
                <w:szCs w:val="22"/>
                <w:lang w:val="en-GB"/>
              </w:rPr>
              <w:t>Outcome</w:t>
            </w:r>
          </w:p>
        </w:tc>
        <w:tc>
          <w:tcPr>
            <w:tcW w:w="5812"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jc w:val="both"/>
              <w:rPr>
                <w:rFonts w:eastAsiaTheme="minorHAnsi" w:cs="AdvP641C"/>
                <w:szCs w:val="22"/>
                <w:lang w:val="en-GB" w:eastAsia="en-US"/>
              </w:rPr>
            </w:pPr>
            <w:r w:rsidRPr="00F7606D">
              <w:rPr>
                <w:rFonts w:eastAsiaTheme="minorHAnsi" w:cs="AdvP641C"/>
                <w:szCs w:val="22"/>
                <w:lang w:val="en-GB" w:eastAsia="en-US"/>
              </w:rPr>
              <w:t>- Relapse</w:t>
            </w:r>
          </w:p>
          <w:p w:rsidR="00EA7D99" w:rsidRPr="00F7606D" w:rsidRDefault="00EA7D99" w:rsidP="00EA7D99">
            <w:pPr>
              <w:tabs>
                <w:tab w:val="clear" w:pos="510"/>
              </w:tabs>
              <w:autoSpaceDE w:val="0"/>
              <w:autoSpaceDN w:val="0"/>
              <w:adjustRightInd w:val="0"/>
              <w:spacing w:line="240" w:lineRule="auto"/>
              <w:jc w:val="both"/>
              <w:rPr>
                <w:rFonts w:eastAsiaTheme="minorHAnsi" w:cs="AdvP641C"/>
                <w:szCs w:val="22"/>
                <w:lang w:val="en-GB" w:eastAsia="en-US"/>
              </w:rPr>
            </w:pPr>
            <w:r w:rsidRPr="00F7606D">
              <w:rPr>
                <w:rFonts w:eastAsiaTheme="minorHAnsi" w:cs="AdvP641C"/>
                <w:szCs w:val="22"/>
                <w:lang w:val="en-GB" w:eastAsia="en-US"/>
              </w:rPr>
              <w:t>- Disability progression</w:t>
            </w:r>
          </w:p>
          <w:p w:rsidR="00EA7D99" w:rsidRPr="00F7606D" w:rsidRDefault="00EA7D99" w:rsidP="00EA7D99">
            <w:pPr>
              <w:tabs>
                <w:tab w:val="clear" w:pos="510"/>
              </w:tabs>
              <w:autoSpaceDE w:val="0"/>
              <w:autoSpaceDN w:val="0"/>
              <w:adjustRightInd w:val="0"/>
              <w:spacing w:line="240" w:lineRule="auto"/>
              <w:jc w:val="both"/>
              <w:rPr>
                <w:rFonts w:eastAsiaTheme="minorHAnsi" w:cs="AdvP641C"/>
                <w:szCs w:val="22"/>
                <w:lang w:val="en-GB" w:eastAsia="en-US"/>
              </w:rPr>
            </w:pPr>
            <w:r w:rsidRPr="00F7606D">
              <w:rPr>
                <w:rFonts w:eastAsiaTheme="minorHAnsi" w:cs="AdvP641C"/>
                <w:szCs w:val="22"/>
                <w:lang w:val="en-GB" w:eastAsia="en-US"/>
              </w:rPr>
              <w:t>- MRI lesions</w:t>
            </w:r>
          </w:p>
          <w:p w:rsidR="00EA7D99" w:rsidRPr="00F7606D" w:rsidRDefault="00EA7D99" w:rsidP="00EA7D99">
            <w:pPr>
              <w:tabs>
                <w:tab w:val="clear" w:pos="510"/>
              </w:tabs>
              <w:autoSpaceDE w:val="0"/>
              <w:autoSpaceDN w:val="0"/>
              <w:adjustRightInd w:val="0"/>
              <w:spacing w:line="240" w:lineRule="auto"/>
              <w:jc w:val="both"/>
              <w:rPr>
                <w:rFonts w:eastAsiaTheme="minorHAnsi" w:cs="AdvP641C"/>
                <w:szCs w:val="22"/>
                <w:lang w:val="en-GB" w:eastAsia="en-US"/>
              </w:rPr>
            </w:pPr>
            <w:r w:rsidRPr="00F7606D">
              <w:rPr>
                <w:rFonts w:eastAsiaTheme="minorHAnsi" w:cs="AdvP641C"/>
                <w:szCs w:val="22"/>
                <w:lang w:val="en-GB" w:eastAsia="en-US"/>
              </w:rPr>
              <w:t>- Adverse events</w:t>
            </w:r>
          </w:p>
          <w:p w:rsidR="00EA7D99" w:rsidRPr="00F7606D" w:rsidRDefault="00EA7D99" w:rsidP="00EA7D99">
            <w:pPr>
              <w:tabs>
                <w:tab w:val="clear" w:pos="510"/>
              </w:tabs>
              <w:autoSpaceDE w:val="0"/>
              <w:autoSpaceDN w:val="0"/>
              <w:adjustRightInd w:val="0"/>
              <w:spacing w:line="240" w:lineRule="auto"/>
              <w:jc w:val="both"/>
              <w:rPr>
                <w:rFonts w:eastAsiaTheme="minorHAnsi" w:cs="AdvP641C"/>
                <w:szCs w:val="22"/>
                <w:lang w:val="en-GB" w:eastAsia="en-US"/>
              </w:rPr>
            </w:pPr>
            <w:r w:rsidRPr="00F7606D">
              <w:rPr>
                <w:rFonts w:eastAsiaTheme="minorHAnsi" w:cs="AdvP641C"/>
                <w:szCs w:val="22"/>
                <w:lang w:val="en-GB" w:eastAsia="en-US"/>
              </w:rPr>
              <w:t>- Serious adverse events</w:t>
            </w:r>
          </w:p>
          <w:p w:rsidR="00EA7D99" w:rsidRPr="00F7606D" w:rsidRDefault="00EA7D99" w:rsidP="00EA7D99">
            <w:pPr>
              <w:tabs>
                <w:tab w:val="clear" w:pos="510"/>
              </w:tabs>
              <w:autoSpaceDE w:val="0"/>
              <w:autoSpaceDN w:val="0"/>
              <w:adjustRightInd w:val="0"/>
              <w:spacing w:line="240" w:lineRule="auto"/>
              <w:jc w:val="both"/>
              <w:rPr>
                <w:rFonts w:eastAsiaTheme="minorHAnsi" w:cs="AdvP641C"/>
                <w:szCs w:val="22"/>
                <w:lang w:val="en-GB" w:eastAsia="en-US"/>
              </w:rPr>
            </w:pPr>
            <w:r w:rsidRPr="00F7606D">
              <w:rPr>
                <w:rFonts w:eastAsiaTheme="minorHAnsi" w:cs="AdvP641C"/>
                <w:szCs w:val="22"/>
                <w:lang w:val="en-GB" w:eastAsia="en-US"/>
              </w:rPr>
              <w:t>- Withdrawal due to adverse events</w:t>
            </w:r>
          </w:p>
          <w:p w:rsidR="00EA7D99" w:rsidRPr="00F7606D" w:rsidRDefault="00EA7D99" w:rsidP="00EA7D99">
            <w:pPr>
              <w:tabs>
                <w:tab w:val="clear" w:pos="510"/>
              </w:tabs>
              <w:autoSpaceDE w:val="0"/>
              <w:autoSpaceDN w:val="0"/>
              <w:adjustRightInd w:val="0"/>
              <w:spacing w:line="240" w:lineRule="auto"/>
              <w:jc w:val="both"/>
              <w:rPr>
                <w:rFonts w:eastAsiaTheme="minorHAnsi" w:cs="AdvP641C"/>
                <w:szCs w:val="22"/>
                <w:lang w:val="en-GB" w:eastAsia="en-US"/>
              </w:rPr>
            </w:pPr>
            <w:r w:rsidRPr="00F7606D">
              <w:rPr>
                <w:rFonts w:eastAsiaTheme="minorHAnsi" w:cs="AdvP641C"/>
                <w:szCs w:val="22"/>
                <w:lang w:val="en-GB" w:eastAsia="en-US"/>
              </w:rPr>
              <w:t>- Quality of life</w:t>
            </w:r>
          </w:p>
        </w:tc>
      </w:tr>
      <w:tr w:rsidR="00EA7D99" w:rsidRPr="00F7606D" w:rsidTr="00EA7D99">
        <w:tc>
          <w:tcPr>
            <w:tcW w:w="3539"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326" w:lineRule="exact"/>
              <w:rPr>
                <w:b/>
                <w:szCs w:val="22"/>
                <w:lang w:val="en-GB"/>
              </w:rPr>
            </w:pPr>
            <w:r w:rsidRPr="00F7606D">
              <w:rPr>
                <w:b/>
                <w:szCs w:val="22"/>
                <w:lang w:val="en-GB"/>
              </w:rPr>
              <w:t>Follow-up</w:t>
            </w:r>
          </w:p>
        </w:tc>
        <w:tc>
          <w:tcPr>
            <w:tcW w:w="5812"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jc w:val="both"/>
              <w:rPr>
                <w:rFonts w:eastAsiaTheme="minorHAnsi"/>
                <w:szCs w:val="22"/>
                <w:lang w:val="en-GB" w:eastAsia="en-US"/>
              </w:rPr>
            </w:pPr>
            <w:r w:rsidRPr="00F7606D">
              <w:rPr>
                <w:szCs w:val="22"/>
                <w:lang w:val="en-GB"/>
              </w:rPr>
              <w:t>16 weeks to 3.5 years.</w:t>
            </w:r>
          </w:p>
        </w:tc>
      </w:tr>
      <w:tr w:rsidR="00EA7D99" w:rsidRPr="00685670" w:rsidTr="00EA7D99">
        <w:tc>
          <w:tcPr>
            <w:tcW w:w="3539"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326" w:lineRule="exact"/>
              <w:rPr>
                <w:b/>
                <w:szCs w:val="22"/>
                <w:lang w:val="en-GB"/>
              </w:rPr>
            </w:pPr>
            <w:r w:rsidRPr="00F7606D">
              <w:rPr>
                <w:b/>
                <w:szCs w:val="22"/>
                <w:lang w:val="en-GB"/>
              </w:rPr>
              <w:t>Quality assessment</w:t>
            </w:r>
          </w:p>
        </w:tc>
        <w:tc>
          <w:tcPr>
            <w:tcW w:w="5812"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326" w:lineRule="exact"/>
              <w:jc w:val="both"/>
              <w:rPr>
                <w:szCs w:val="22"/>
                <w:lang w:val="en-GB"/>
              </w:rPr>
            </w:pPr>
            <w:r w:rsidRPr="00F7606D">
              <w:rPr>
                <w:szCs w:val="22"/>
                <w:lang w:val="en-GB"/>
              </w:rPr>
              <w:t>This publication was assessed to be of high quality</w:t>
            </w:r>
          </w:p>
        </w:tc>
      </w:tr>
    </w:tbl>
    <w:p w:rsidR="00EA7D99" w:rsidRDefault="00EA7D99" w:rsidP="00EA7D99">
      <w:pPr>
        <w:spacing w:line="240" w:lineRule="auto"/>
        <w:contextualSpacing/>
        <w:rPr>
          <w:b/>
          <w:i/>
        </w:rPr>
        <w:sectPr w:rsidR="00EA7D99">
          <w:pgSz w:w="11906" w:h="16838"/>
          <w:pgMar w:top="1417" w:right="1417" w:bottom="1417" w:left="1417" w:header="708" w:footer="708" w:gutter="0"/>
          <w:cols w:space="708"/>
          <w:docGrid w:linePitch="360"/>
        </w:sectPr>
      </w:pPr>
    </w:p>
    <w:p w:rsidR="00EA7D99" w:rsidRPr="00F7606D" w:rsidRDefault="00EA7D99" w:rsidP="00C92EA7">
      <w:pPr>
        <w:rPr>
          <w:u w:val="single"/>
        </w:rPr>
      </w:pPr>
      <w:r w:rsidRPr="00235544">
        <w:rPr>
          <w:b/>
          <w:i/>
        </w:rPr>
        <w:t xml:space="preserve">Table </w:t>
      </w:r>
      <w:r w:rsidR="00C92EA7">
        <w:rPr>
          <w:b/>
          <w:i/>
        </w:rPr>
        <w:t>7.</w:t>
      </w:r>
      <w:r>
        <w:rPr>
          <w:b/>
          <w:i/>
        </w:rPr>
        <w:t>2</w:t>
      </w:r>
      <w:r w:rsidRPr="00235544">
        <w:rPr>
          <w:b/>
          <w:i/>
        </w:rPr>
        <w:t>.</w:t>
      </w:r>
      <w:r w:rsidRPr="00235544">
        <w:rPr>
          <w:i/>
        </w:rPr>
        <w:t xml:space="preserve"> Characteristics of included randomised clinical trials</w:t>
      </w:r>
    </w:p>
    <w:tbl>
      <w:tblPr>
        <w:tblStyle w:val="afff"/>
        <w:tblW w:w="13603" w:type="dxa"/>
        <w:tblLook w:val="04A0"/>
      </w:tblPr>
      <w:tblGrid>
        <w:gridCol w:w="3964"/>
        <w:gridCol w:w="82"/>
        <w:gridCol w:w="6410"/>
        <w:gridCol w:w="171"/>
        <w:gridCol w:w="1559"/>
        <w:gridCol w:w="1417"/>
      </w:tblGrid>
      <w:tr w:rsidR="00EA7D99" w:rsidRPr="00235544" w:rsidTr="0075275D">
        <w:tc>
          <w:tcPr>
            <w:tcW w:w="3964" w:type="dxa"/>
            <w:shd w:val="clear" w:color="auto" w:fill="D9D9D9" w:themeFill="background1" w:themeFillShade="D9"/>
          </w:tcPr>
          <w:p w:rsidR="00EA7D99" w:rsidRPr="00F7606D" w:rsidRDefault="00EA7D99" w:rsidP="00EA7D99">
            <w:pPr>
              <w:tabs>
                <w:tab w:val="clear" w:pos="510"/>
              </w:tabs>
              <w:spacing w:line="240" w:lineRule="auto"/>
              <w:contextualSpacing/>
              <w:rPr>
                <w:b/>
                <w:szCs w:val="22"/>
                <w:lang w:val="en-GB"/>
              </w:rPr>
            </w:pPr>
            <w:r w:rsidRPr="00F7606D">
              <w:rPr>
                <w:b/>
                <w:szCs w:val="22"/>
                <w:lang w:val="en-GB"/>
              </w:rPr>
              <w:t>Name (publication) (reference) Study design</w:t>
            </w:r>
          </w:p>
        </w:tc>
        <w:tc>
          <w:tcPr>
            <w:tcW w:w="6663" w:type="dxa"/>
            <w:gridSpan w:val="3"/>
            <w:shd w:val="clear" w:color="auto" w:fill="D9D9D9" w:themeFill="background1" w:themeFillShade="D9"/>
          </w:tcPr>
          <w:p w:rsidR="00EA7D99" w:rsidRPr="00F7606D" w:rsidRDefault="00EA7D99" w:rsidP="00EA7D99">
            <w:pPr>
              <w:tabs>
                <w:tab w:val="clear" w:pos="510"/>
              </w:tabs>
              <w:spacing w:line="240" w:lineRule="auto"/>
              <w:contextualSpacing/>
              <w:rPr>
                <w:b/>
                <w:szCs w:val="22"/>
                <w:lang w:val="en-GB"/>
              </w:rPr>
            </w:pPr>
            <w:r w:rsidRPr="00F7606D">
              <w:rPr>
                <w:b/>
                <w:szCs w:val="22"/>
                <w:lang w:val="en-GB"/>
              </w:rPr>
              <w:t>Intervention versus comparison (n=number randomised)</w:t>
            </w:r>
          </w:p>
        </w:tc>
        <w:tc>
          <w:tcPr>
            <w:tcW w:w="1559" w:type="dxa"/>
            <w:shd w:val="clear" w:color="auto" w:fill="D9D9D9" w:themeFill="background1" w:themeFillShade="D9"/>
          </w:tcPr>
          <w:p w:rsidR="00EA7D99" w:rsidRPr="00F7606D" w:rsidRDefault="00EA7D99" w:rsidP="00EA7D99">
            <w:pPr>
              <w:tabs>
                <w:tab w:val="clear" w:pos="510"/>
              </w:tabs>
              <w:spacing w:line="240" w:lineRule="auto"/>
              <w:contextualSpacing/>
              <w:rPr>
                <w:b/>
                <w:szCs w:val="22"/>
                <w:lang w:val="en-GB"/>
              </w:rPr>
            </w:pPr>
            <w:r w:rsidRPr="00F7606D">
              <w:rPr>
                <w:b/>
                <w:szCs w:val="22"/>
                <w:lang w:val="en-GB"/>
              </w:rPr>
              <w:t xml:space="preserve">Treatment </w:t>
            </w:r>
          </w:p>
          <w:p w:rsidR="00EA7D99" w:rsidRPr="00F7606D" w:rsidRDefault="00EA7D99" w:rsidP="00EA7D99">
            <w:pPr>
              <w:tabs>
                <w:tab w:val="clear" w:pos="510"/>
              </w:tabs>
              <w:spacing w:line="240" w:lineRule="auto"/>
              <w:contextualSpacing/>
              <w:rPr>
                <w:b/>
                <w:szCs w:val="22"/>
                <w:lang w:val="en-GB"/>
              </w:rPr>
            </w:pPr>
            <w:r w:rsidRPr="00F7606D">
              <w:rPr>
                <w:b/>
                <w:szCs w:val="22"/>
                <w:lang w:val="en-GB"/>
              </w:rPr>
              <w:t>history</w:t>
            </w:r>
          </w:p>
        </w:tc>
        <w:tc>
          <w:tcPr>
            <w:tcW w:w="1417" w:type="dxa"/>
            <w:shd w:val="clear" w:color="auto" w:fill="D9D9D9" w:themeFill="background1" w:themeFillShade="D9"/>
          </w:tcPr>
          <w:p w:rsidR="00EA7D99" w:rsidRPr="00F7606D" w:rsidRDefault="00EA7D99" w:rsidP="00EA7D99">
            <w:pPr>
              <w:tabs>
                <w:tab w:val="clear" w:pos="510"/>
              </w:tabs>
              <w:spacing w:line="240" w:lineRule="auto"/>
              <w:contextualSpacing/>
              <w:rPr>
                <w:b/>
                <w:szCs w:val="22"/>
                <w:lang w:val="en-GB"/>
              </w:rPr>
            </w:pPr>
            <w:r w:rsidRPr="00F7606D">
              <w:rPr>
                <w:b/>
                <w:szCs w:val="22"/>
                <w:lang w:val="en-GB"/>
              </w:rPr>
              <w:t>Follow-up</w:t>
            </w:r>
          </w:p>
        </w:tc>
      </w:tr>
      <w:tr w:rsidR="00EA7D99" w:rsidRPr="00F7606D" w:rsidTr="0075275D">
        <w:tc>
          <w:tcPr>
            <w:tcW w:w="3964" w:type="dxa"/>
          </w:tcPr>
          <w:p w:rsidR="00663354" w:rsidRDefault="00EA7D99" w:rsidP="00EA7D99">
            <w:pPr>
              <w:tabs>
                <w:tab w:val="clear" w:pos="510"/>
              </w:tabs>
              <w:spacing w:line="240" w:lineRule="auto"/>
              <w:contextualSpacing/>
              <w:rPr>
                <w:b/>
                <w:i/>
                <w:szCs w:val="22"/>
                <w:lang w:val="en-GB"/>
              </w:rPr>
            </w:pPr>
            <w:r w:rsidRPr="00F7606D">
              <w:rPr>
                <w:b/>
                <w:i/>
                <w:szCs w:val="22"/>
                <w:lang w:val="en-GB"/>
              </w:rPr>
              <w:t xml:space="preserve">CAMMS223 </w:t>
            </w:r>
            <w:r w:rsidR="00ED54B6">
              <w:rPr>
                <w:b/>
                <w:i/>
                <w:szCs w:val="22"/>
                <w:lang w:val="en-GB"/>
              </w:rPr>
              <w:t>(2008)</w:t>
            </w:r>
          </w:p>
          <w:p w:rsidR="00EA7D99" w:rsidRPr="00663354" w:rsidRDefault="00663354" w:rsidP="00EA7D99">
            <w:pPr>
              <w:tabs>
                <w:tab w:val="clear" w:pos="510"/>
              </w:tabs>
              <w:spacing w:line="240" w:lineRule="auto"/>
              <w:contextualSpacing/>
              <w:rPr>
                <w:i/>
                <w:szCs w:val="22"/>
                <w:lang w:val="en-GB"/>
              </w:rPr>
            </w:pPr>
            <w:r w:rsidRPr="00663354">
              <w:rPr>
                <w:i/>
                <w:szCs w:val="22"/>
                <w:lang w:val="en-GB"/>
              </w:rPr>
              <w:t xml:space="preserve">Coles AJ, Compston DA, Selmaj KW, Lake SL, Moran S, Margolin DH, et al. Alemtuzumab vs. interferon beta-1a in early multiple sclerosis. N Engl J Med 2008;359(17):1786-1801.  </w:t>
            </w:r>
          </w:p>
          <w:p w:rsidR="00ED54B6" w:rsidRDefault="00ED54B6" w:rsidP="00EA7D99">
            <w:pPr>
              <w:tabs>
                <w:tab w:val="clear" w:pos="510"/>
              </w:tabs>
              <w:spacing w:line="240" w:lineRule="auto"/>
              <w:contextualSpacing/>
              <w:rPr>
                <w:szCs w:val="22"/>
                <w:lang w:val="en-GB"/>
              </w:rPr>
            </w:pPr>
          </w:p>
          <w:p w:rsidR="00EA7D99" w:rsidRPr="00F7606D" w:rsidRDefault="00EA7D99" w:rsidP="00EA7D99">
            <w:pPr>
              <w:tabs>
                <w:tab w:val="clear" w:pos="510"/>
              </w:tabs>
              <w:spacing w:line="240" w:lineRule="auto"/>
              <w:contextualSpacing/>
              <w:rPr>
                <w:szCs w:val="22"/>
                <w:lang w:val="en-GB"/>
              </w:rPr>
            </w:pPr>
            <w:r w:rsidRPr="00F7606D">
              <w:rPr>
                <w:szCs w:val="22"/>
                <w:lang w:val="en-GB"/>
              </w:rPr>
              <w:t>Rater-blinded, in 49 centres in Europe and US</w:t>
            </w:r>
          </w:p>
        </w:tc>
        <w:tc>
          <w:tcPr>
            <w:tcW w:w="6663" w:type="dxa"/>
            <w:gridSpan w:val="3"/>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bCs/>
                <w:sz w:val="22"/>
                <w:szCs w:val="22"/>
                <w:lang w:val="en-GB"/>
              </w:rPr>
              <w:t xml:space="preserve">- Alemtuzumab 12 mg IV q.d., 5 consecutive days at 1st month, 3 consecutive days at months 12 and 24 </w:t>
            </w:r>
            <w:r w:rsidRPr="00F7606D">
              <w:rPr>
                <w:rFonts w:ascii="Georgia" w:hAnsi="Georgia"/>
                <w:sz w:val="22"/>
                <w:szCs w:val="22"/>
                <w:lang w:val="en-GB"/>
              </w:rPr>
              <w:t xml:space="preserve">(n = 113) </w:t>
            </w:r>
          </w:p>
          <w:p w:rsidR="00EA7D99" w:rsidRPr="00B4105F" w:rsidRDefault="00EA7D99" w:rsidP="00EA7D99">
            <w:pPr>
              <w:tabs>
                <w:tab w:val="clear" w:pos="510"/>
              </w:tabs>
              <w:spacing w:line="240" w:lineRule="auto"/>
              <w:contextualSpacing/>
              <w:rPr>
                <w:szCs w:val="22"/>
                <w:lang w:val="pt-PT"/>
              </w:rPr>
            </w:pPr>
            <w:r w:rsidRPr="00B4105F">
              <w:rPr>
                <w:bCs/>
                <w:szCs w:val="22"/>
                <w:lang w:val="pt-PT"/>
              </w:rPr>
              <w:t xml:space="preserve">- Alemtuzumab 24 mg IV q.d. </w:t>
            </w:r>
            <w:r w:rsidRPr="00B4105F">
              <w:rPr>
                <w:szCs w:val="22"/>
                <w:lang w:val="pt-PT"/>
              </w:rPr>
              <w:t>(n = 110)</w:t>
            </w:r>
          </w:p>
          <w:p w:rsidR="00EA7D99" w:rsidRPr="00B4105F" w:rsidRDefault="00EA7D99" w:rsidP="00EA7D99">
            <w:pPr>
              <w:tabs>
                <w:tab w:val="clear" w:pos="510"/>
              </w:tabs>
              <w:spacing w:line="240" w:lineRule="auto"/>
              <w:contextualSpacing/>
              <w:rPr>
                <w:szCs w:val="22"/>
                <w:lang w:val="pt-PT"/>
              </w:rPr>
            </w:pPr>
            <w:r w:rsidRPr="00B4105F">
              <w:rPr>
                <w:bCs/>
                <w:szCs w:val="22"/>
                <w:lang w:val="pt-PT"/>
              </w:rPr>
              <w:t xml:space="preserve">- Interferon beta-1a 44 mcg SC t.i.w. </w:t>
            </w:r>
            <w:r w:rsidRPr="00B4105F">
              <w:rPr>
                <w:szCs w:val="22"/>
                <w:lang w:val="pt-PT"/>
              </w:rPr>
              <w:t>(n = 111)</w:t>
            </w:r>
          </w:p>
        </w:tc>
        <w:tc>
          <w:tcPr>
            <w:tcW w:w="1559" w:type="dxa"/>
          </w:tcPr>
          <w:p w:rsidR="00EA7D99" w:rsidRPr="00F7606D" w:rsidRDefault="00EA7D99" w:rsidP="00EA7D99">
            <w:pPr>
              <w:tabs>
                <w:tab w:val="clear" w:pos="510"/>
              </w:tabs>
              <w:spacing w:line="240" w:lineRule="auto"/>
              <w:contextualSpacing/>
              <w:rPr>
                <w:szCs w:val="22"/>
                <w:lang w:val="en-GB"/>
              </w:rPr>
            </w:pPr>
            <w:r w:rsidRPr="00F7606D">
              <w:rPr>
                <w:szCs w:val="22"/>
                <w:lang w:val="en-GB"/>
              </w:rPr>
              <w:t>Treatment-naive</w:t>
            </w:r>
          </w:p>
        </w:tc>
        <w:tc>
          <w:tcPr>
            <w:tcW w:w="1417" w:type="dxa"/>
          </w:tcPr>
          <w:p w:rsidR="00EA7D99" w:rsidRPr="00F7606D" w:rsidRDefault="00EA7D99" w:rsidP="00EA7D99">
            <w:pPr>
              <w:tabs>
                <w:tab w:val="clear" w:pos="510"/>
              </w:tabs>
              <w:spacing w:line="240" w:lineRule="auto"/>
              <w:contextualSpacing/>
              <w:rPr>
                <w:szCs w:val="22"/>
                <w:lang w:val="en-GB"/>
              </w:rPr>
            </w:pPr>
            <w:r w:rsidRPr="00F7606D">
              <w:rPr>
                <w:szCs w:val="22"/>
                <w:lang w:val="en-GB"/>
              </w:rPr>
              <w:t>3 years</w:t>
            </w:r>
          </w:p>
        </w:tc>
      </w:tr>
      <w:tr w:rsidR="00EA7D99" w:rsidRPr="00F7606D" w:rsidTr="0075275D">
        <w:tc>
          <w:tcPr>
            <w:tcW w:w="3964" w:type="dxa"/>
          </w:tcPr>
          <w:p w:rsidR="00ED54B6" w:rsidRDefault="00EA7D99" w:rsidP="00EA7D99">
            <w:pPr>
              <w:tabs>
                <w:tab w:val="clear" w:pos="510"/>
              </w:tabs>
              <w:spacing w:line="240" w:lineRule="auto"/>
              <w:contextualSpacing/>
              <w:rPr>
                <w:szCs w:val="22"/>
                <w:lang w:val="en-GB"/>
              </w:rPr>
            </w:pPr>
            <w:r w:rsidRPr="00F7606D">
              <w:rPr>
                <w:b/>
                <w:i/>
                <w:szCs w:val="22"/>
                <w:lang w:val="en-GB"/>
              </w:rPr>
              <w:t>CARE-MS I</w:t>
            </w:r>
            <w:r w:rsidR="00ED54B6">
              <w:rPr>
                <w:b/>
                <w:i/>
                <w:szCs w:val="22"/>
                <w:lang w:val="en-GB"/>
              </w:rPr>
              <w:t>(2012)</w:t>
            </w:r>
          </w:p>
          <w:p w:rsidR="00ED54B6" w:rsidRDefault="00ED54B6" w:rsidP="00EA7D99">
            <w:pPr>
              <w:tabs>
                <w:tab w:val="clear" w:pos="510"/>
              </w:tabs>
              <w:spacing w:line="240" w:lineRule="auto"/>
              <w:contextualSpacing/>
              <w:rPr>
                <w:color w:val="000000" w:themeColor="text1"/>
                <w:lang w:val="en-US"/>
              </w:rPr>
            </w:pPr>
            <w:r w:rsidRPr="00B4105F">
              <w:rPr>
                <w:color w:val="000000" w:themeColor="text1"/>
                <w:lang w:val="fr-FR"/>
              </w:rPr>
              <w:t xml:space="preserve">Cohen JA, Coles AJ, Arnold DL, Confavreux C, Fox EJ, Hartung HP, et al. </w:t>
            </w:r>
            <w:r w:rsidRPr="00B61623">
              <w:rPr>
                <w:color w:val="000000" w:themeColor="text1"/>
                <w:lang w:val="en-US"/>
              </w:rPr>
              <w:t>Alemtuzumab versus interferon beta 1a as first-line treatment for patients with relapsing-remitting multiple sclerosis: a randomised controlled phase 3 trial. Lancet 2012;380(9856):1819-1828.</w:t>
            </w:r>
          </w:p>
          <w:p w:rsidR="00ED54B6" w:rsidRDefault="00ED54B6" w:rsidP="00EA7D99">
            <w:pPr>
              <w:tabs>
                <w:tab w:val="clear" w:pos="510"/>
              </w:tabs>
              <w:spacing w:line="240" w:lineRule="auto"/>
              <w:contextualSpacing/>
              <w:rPr>
                <w:color w:val="000000" w:themeColor="text1"/>
                <w:lang w:val="en-US"/>
              </w:rPr>
            </w:pPr>
          </w:p>
          <w:p w:rsidR="00EA7D99" w:rsidRPr="00F7606D" w:rsidRDefault="00EA7D99" w:rsidP="00EA7D99">
            <w:pPr>
              <w:tabs>
                <w:tab w:val="clear" w:pos="510"/>
              </w:tabs>
              <w:spacing w:line="240" w:lineRule="auto"/>
              <w:contextualSpacing/>
              <w:rPr>
                <w:szCs w:val="22"/>
                <w:lang w:val="en-GB"/>
              </w:rPr>
            </w:pPr>
            <w:r w:rsidRPr="00F7606D">
              <w:rPr>
                <w:szCs w:val="22"/>
                <w:lang w:val="en-GB"/>
              </w:rPr>
              <w:t>A rater-blinded, in 101 centres in 16 countries including Europe, Canada, and US.</w:t>
            </w:r>
          </w:p>
          <w:p w:rsidR="00EA7D99" w:rsidRPr="00F7606D" w:rsidRDefault="00EA7D99" w:rsidP="00EA7D99">
            <w:pPr>
              <w:tabs>
                <w:tab w:val="clear" w:pos="510"/>
              </w:tabs>
              <w:spacing w:line="240" w:lineRule="auto"/>
              <w:contextualSpacing/>
              <w:rPr>
                <w:szCs w:val="22"/>
                <w:lang w:val="en-GB"/>
              </w:rPr>
            </w:pPr>
          </w:p>
        </w:tc>
        <w:tc>
          <w:tcPr>
            <w:tcW w:w="6663" w:type="dxa"/>
            <w:gridSpan w:val="3"/>
          </w:tcPr>
          <w:p w:rsidR="00EA7D99" w:rsidRPr="00F7606D" w:rsidRDefault="00EA7D99" w:rsidP="00EA7D99">
            <w:pPr>
              <w:tabs>
                <w:tab w:val="clear" w:pos="510"/>
              </w:tabs>
              <w:spacing w:line="240" w:lineRule="auto"/>
              <w:contextualSpacing/>
              <w:rPr>
                <w:szCs w:val="22"/>
                <w:lang w:val="en-GB"/>
              </w:rPr>
            </w:pPr>
            <w:r w:rsidRPr="00F7606D">
              <w:rPr>
                <w:bCs/>
                <w:szCs w:val="22"/>
                <w:lang w:val="en-GB"/>
              </w:rPr>
              <w:t xml:space="preserve">- Alemtuzumab 12 mg IV q.d., 5 consecutive days at month 0, 3 consecutive days at month 12 </w:t>
            </w:r>
            <w:r w:rsidRPr="00F7606D">
              <w:rPr>
                <w:szCs w:val="22"/>
                <w:lang w:val="en-GB"/>
              </w:rPr>
              <w:t>(n = 386)</w:t>
            </w:r>
          </w:p>
          <w:p w:rsidR="00EA7D99" w:rsidRPr="00B4105F" w:rsidRDefault="00EA7D99" w:rsidP="00EA7D99">
            <w:pPr>
              <w:tabs>
                <w:tab w:val="clear" w:pos="510"/>
              </w:tabs>
              <w:spacing w:line="240" w:lineRule="auto"/>
              <w:contextualSpacing/>
              <w:rPr>
                <w:szCs w:val="22"/>
                <w:lang w:val="pt-PT"/>
              </w:rPr>
            </w:pPr>
            <w:r w:rsidRPr="00B4105F">
              <w:rPr>
                <w:bCs/>
                <w:szCs w:val="22"/>
                <w:lang w:val="pt-PT"/>
              </w:rPr>
              <w:t xml:space="preserve">- Interferon beta-1a 44 mcg SC t.i.w. </w:t>
            </w:r>
            <w:r w:rsidRPr="00B4105F">
              <w:rPr>
                <w:szCs w:val="22"/>
                <w:lang w:val="pt-PT"/>
              </w:rPr>
              <w:t>(n = 195)</w:t>
            </w:r>
          </w:p>
        </w:tc>
        <w:tc>
          <w:tcPr>
            <w:tcW w:w="1559" w:type="dxa"/>
          </w:tcPr>
          <w:p w:rsidR="00EA7D99" w:rsidRPr="00F7606D" w:rsidRDefault="00EA7D99" w:rsidP="00EA7D99">
            <w:pPr>
              <w:tabs>
                <w:tab w:val="clear" w:pos="510"/>
              </w:tabs>
              <w:spacing w:line="240" w:lineRule="auto"/>
              <w:contextualSpacing/>
              <w:rPr>
                <w:szCs w:val="22"/>
                <w:lang w:val="en-GB"/>
              </w:rPr>
            </w:pPr>
            <w:r w:rsidRPr="00F7606D">
              <w:rPr>
                <w:szCs w:val="22"/>
                <w:lang w:val="en-GB"/>
              </w:rPr>
              <w:t>Treatment-naive</w:t>
            </w:r>
          </w:p>
        </w:tc>
        <w:tc>
          <w:tcPr>
            <w:tcW w:w="1417" w:type="dxa"/>
          </w:tcPr>
          <w:p w:rsidR="00EA7D99" w:rsidRPr="00F7606D" w:rsidRDefault="00EA7D99" w:rsidP="00EA7D99">
            <w:pPr>
              <w:tabs>
                <w:tab w:val="clear" w:pos="510"/>
              </w:tabs>
              <w:spacing w:line="240" w:lineRule="auto"/>
              <w:contextualSpacing/>
              <w:rPr>
                <w:szCs w:val="22"/>
                <w:lang w:val="en-GB"/>
              </w:rPr>
            </w:pPr>
            <w:r w:rsidRPr="00F7606D">
              <w:rPr>
                <w:szCs w:val="22"/>
                <w:lang w:val="en-GB"/>
              </w:rPr>
              <w:t>2 years</w:t>
            </w:r>
          </w:p>
        </w:tc>
      </w:tr>
      <w:tr w:rsidR="00EA7D99" w:rsidRPr="00F7606D" w:rsidTr="0075275D">
        <w:tc>
          <w:tcPr>
            <w:tcW w:w="3964" w:type="dxa"/>
          </w:tcPr>
          <w:p w:rsidR="00EA7D99" w:rsidRDefault="00EA7D99" w:rsidP="00EA7D99">
            <w:pPr>
              <w:tabs>
                <w:tab w:val="clear" w:pos="510"/>
              </w:tabs>
              <w:spacing w:line="240" w:lineRule="auto"/>
              <w:contextualSpacing/>
              <w:rPr>
                <w:b/>
                <w:i/>
              </w:rPr>
            </w:pPr>
            <w:r w:rsidRPr="00F7606D">
              <w:rPr>
                <w:b/>
                <w:i/>
                <w:szCs w:val="22"/>
                <w:lang w:val="en-GB"/>
              </w:rPr>
              <w:t>CARE MS II (2008)</w:t>
            </w:r>
          </w:p>
          <w:p w:rsidR="00ED54B6" w:rsidRPr="00F7606D" w:rsidRDefault="00ED54B6" w:rsidP="00EA7D99">
            <w:pPr>
              <w:tabs>
                <w:tab w:val="clear" w:pos="510"/>
              </w:tabs>
              <w:spacing w:line="240" w:lineRule="auto"/>
              <w:contextualSpacing/>
              <w:rPr>
                <w:b/>
                <w:i/>
                <w:szCs w:val="22"/>
                <w:lang w:val="en-GB"/>
              </w:rPr>
            </w:pPr>
            <w:r w:rsidRPr="00B61623">
              <w:rPr>
                <w:color w:val="000000" w:themeColor="text1"/>
                <w:lang w:val="en-US"/>
              </w:rPr>
              <w:t>Coles AJ, Compston DA, Selmaj KW, Lake SL, Moran S, Margolin DH, et al. Alemtuzumab vs. interferon beta-1a in early multiple sclerosis. N Engl J Med 2008;359(17):1786-1801.</w:t>
            </w:r>
          </w:p>
          <w:p w:rsidR="00ED54B6" w:rsidRDefault="00ED54B6" w:rsidP="00EA7D99">
            <w:pPr>
              <w:tabs>
                <w:tab w:val="clear" w:pos="510"/>
              </w:tabs>
              <w:spacing w:line="240" w:lineRule="auto"/>
              <w:contextualSpacing/>
              <w:rPr>
                <w:rFonts w:eastAsiaTheme="minorHAnsi" w:cs="AdvAGaramond-R"/>
                <w:color w:val="231F20"/>
                <w:szCs w:val="22"/>
                <w:lang w:val="en-GB" w:eastAsia="en-US"/>
              </w:rPr>
            </w:pPr>
          </w:p>
          <w:p w:rsidR="00EA7D99" w:rsidRPr="00F7606D" w:rsidRDefault="00EA7D99" w:rsidP="00EA7D99">
            <w:pPr>
              <w:tabs>
                <w:tab w:val="clear" w:pos="510"/>
              </w:tabs>
              <w:spacing w:line="240" w:lineRule="auto"/>
              <w:contextualSpacing/>
              <w:rPr>
                <w:szCs w:val="22"/>
                <w:lang w:val="en-GB"/>
              </w:rPr>
            </w:pPr>
            <w:r w:rsidRPr="00F7606D">
              <w:rPr>
                <w:rFonts w:eastAsiaTheme="minorHAnsi" w:cs="AdvAGaramond-R"/>
                <w:color w:val="231F20"/>
                <w:szCs w:val="22"/>
                <w:lang w:val="en-GB" w:eastAsia="en-US"/>
              </w:rPr>
              <w:t xml:space="preserve">Rater-blinded, in </w:t>
            </w:r>
            <w:r w:rsidRPr="00F7606D">
              <w:rPr>
                <w:rFonts w:eastAsia="ScalaLancetPro" w:cs="ScalaLancetPro"/>
                <w:szCs w:val="22"/>
                <w:lang w:val="en-GB" w:eastAsia="en-US"/>
              </w:rPr>
              <w:t xml:space="preserve">194 academic medical centres and clinical practices in 23 countries </w:t>
            </w:r>
            <w:r w:rsidRPr="00F7606D">
              <w:rPr>
                <w:rFonts w:eastAsiaTheme="minorHAnsi"/>
                <w:szCs w:val="22"/>
                <w:lang w:val="en-GB" w:eastAsia="en-US"/>
              </w:rPr>
              <w:t>including Europe, Canada, and US.</w:t>
            </w:r>
          </w:p>
        </w:tc>
        <w:tc>
          <w:tcPr>
            <w:tcW w:w="6663" w:type="dxa"/>
            <w:gridSpan w:val="3"/>
          </w:tcPr>
          <w:p w:rsidR="00EA7D99" w:rsidRPr="00F7606D" w:rsidRDefault="00EA7D99" w:rsidP="00EA7D99">
            <w:pPr>
              <w:tabs>
                <w:tab w:val="clear" w:pos="510"/>
              </w:tabs>
              <w:autoSpaceDE w:val="0"/>
              <w:autoSpaceDN w:val="0"/>
              <w:adjustRightInd w:val="0"/>
              <w:spacing w:line="240" w:lineRule="auto"/>
              <w:contextualSpacing/>
              <w:rPr>
                <w:rFonts w:eastAsia="ScalaLancetPro" w:cs="ScalaLancetPro"/>
                <w:szCs w:val="22"/>
                <w:lang w:val="en-GB" w:eastAsia="en-US"/>
              </w:rPr>
            </w:pPr>
            <w:r w:rsidRPr="00F7606D">
              <w:rPr>
                <w:rFonts w:eastAsia="ScalaLancetPro" w:cs="ScalaLancetPro"/>
                <w:szCs w:val="22"/>
                <w:lang w:val="en-GB" w:eastAsia="en-US"/>
              </w:rPr>
              <w:t xml:space="preserve">- Alemtuzumab 12 mg </w:t>
            </w:r>
            <w:r w:rsidRPr="00F7606D">
              <w:rPr>
                <w:bCs/>
                <w:szCs w:val="22"/>
                <w:lang w:val="en-GB"/>
              </w:rPr>
              <w:t xml:space="preserve">IV q.d., 5 consecutive days at month 0, 3 consecutive days at month 12 </w:t>
            </w:r>
            <w:r w:rsidRPr="00F7606D">
              <w:rPr>
                <w:rFonts w:eastAsia="ScalaLancetPro" w:cs="ScalaLancetPro"/>
                <w:szCs w:val="22"/>
                <w:lang w:val="en-GB" w:eastAsia="en-US"/>
              </w:rPr>
              <w:t>(n=436)</w:t>
            </w:r>
          </w:p>
          <w:p w:rsidR="00EA7D99" w:rsidRPr="00F7606D" w:rsidRDefault="00EA7D99" w:rsidP="00EA7D99">
            <w:pPr>
              <w:tabs>
                <w:tab w:val="clear" w:pos="510"/>
              </w:tabs>
              <w:spacing w:line="240" w:lineRule="auto"/>
              <w:contextualSpacing/>
              <w:rPr>
                <w:rFonts w:eastAsia="ScalaLancetPro" w:cs="ScalaLancetPro"/>
                <w:szCs w:val="22"/>
                <w:lang w:val="en-GB" w:eastAsia="en-US"/>
              </w:rPr>
            </w:pPr>
            <w:r w:rsidRPr="00F7606D">
              <w:rPr>
                <w:rFonts w:eastAsia="ScalaLancetPro" w:cs="ScalaLancetPro"/>
                <w:szCs w:val="22"/>
                <w:lang w:val="en-GB" w:eastAsia="en-US"/>
              </w:rPr>
              <w:t xml:space="preserve">Alemtuzumab 24 mg </w:t>
            </w:r>
            <w:r w:rsidRPr="00F7606D">
              <w:rPr>
                <w:bCs/>
                <w:szCs w:val="22"/>
                <w:lang w:val="en-GB"/>
              </w:rPr>
              <w:t xml:space="preserve">IV q.d., 5 consecutive days at month 0, 3 consecutive days at month 12 </w:t>
            </w:r>
            <w:r w:rsidRPr="00F7606D">
              <w:rPr>
                <w:rFonts w:eastAsia="ScalaLancetPro" w:cs="ScalaLancetPro"/>
                <w:szCs w:val="22"/>
                <w:lang w:val="en-GB" w:eastAsia="en-US"/>
              </w:rPr>
              <w:t>(n=173)</w:t>
            </w:r>
          </w:p>
          <w:p w:rsidR="00EA7D99" w:rsidRPr="00B4105F" w:rsidRDefault="00EA7D99" w:rsidP="00EA7D99">
            <w:pPr>
              <w:tabs>
                <w:tab w:val="clear" w:pos="510"/>
              </w:tabs>
              <w:spacing w:line="240" w:lineRule="auto"/>
              <w:contextualSpacing/>
              <w:rPr>
                <w:szCs w:val="22"/>
                <w:lang w:val="pt-PT"/>
              </w:rPr>
            </w:pPr>
            <w:r w:rsidRPr="00B4105F">
              <w:rPr>
                <w:rFonts w:eastAsia="ScalaLancetPro" w:cs="ScalaLancetPro"/>
                <w:szCs w:val="22"/>
                <w:lang w:val="pt-PT" w:eastAsia="en-US"/>
              </w:rPr>
              <w:t xml:space="preserve">- Interferon beta-1a </w:t>
            </w:r>
            <w:r w:rsidRPr="00B4105F">
              <w:rPr>
                <w:bCs/>
                <w:szCs w:val="22"/>
                <w:lang w:val="pt-PT"/>
              </w:rPr>
              <w:t xml:space="preserve">44 mcg SC t.i.w. </w:t>
            </w:r>
            <w:r w:rsidRPr="00B4105F">
              <w:rPr>
                <w:rFonts w:eastAsia="ScalaLancetPro" w:cs="ScalaLancetPro"/>
                <w:szCs w:val="22"/>
                <w:lang w:val="pt-PT" w:eastAsia="en-US"/>
              </w:rPr>
              <w:t>(n=231)</w:t>
            </w:r>
          </w:p>
        </w:tc>
        <w:tc>
          <w:tcPr>
            <w:tcW w:w="1559" w:type="dxa"/>
          </w:tcPr>
          <w:p w:rsidR="00EA7D99" w:rsidRPr="00F7606D" w:rsidRDefault="00EA7D99" w:rsidP="00EA7D99">
            <w:pPr>
              <w:tabs>
                <w:tab w:val="clear" w:pos="510"/>
              </w:tabs>
              <w:spacing w:line="240" w:lineRule="auto"/>
              <w:contextualSpacing/>
              <w:rPr>
                <w:szCs w:val="22"/>
                <w:lang w:val="en-GB"/>
              </w:rPr>
            </w:pPr>
            <w:r w:rsidRPr="00F7606D">
              <w:rPr>
                <w:rFonts w:eastAsiaTheme="minorHAnsi"/>
                <w:szCs w:val="22"/>
                <w:lang w:val="en-GB" w:eastAsia="en-US"/>
              </w:rPr>
              <w:t>Treatment-experienced</w:t>
            </w:r>
          </w:p>
        </w:tc>
        <w:tc>
          <w:tcPr>
            <w:tcW w:w="1417" w:type="dxa"/>
          </w:tcPr>
          <w:p w:rsidR="00EA7D99" w:rsidRPr="00F7606D" w:rsidRDefault="00EA7D99" w:rsidP="00EA7D99">
            <w:pPr>
              <w:tabs>
                <w:tab w:val="clear" w:pos="510"/>
              </w:tabs>
              <w:spacing w:line="240" w:lineRule="auto"/>
              <w:contextualSpacing/>
              <w:rPr>
                <w:szCs w:val="22"/>
                <w:lang w:val="en-GB"/>
              </w:rPr>
            </w:pPr>
            <w:r w:rsidRPr="00F7606D">
              <w:rPr>
                <w:szCs w:val="22"/>
                <w:lang w:val="en-GB"/>
              </w:rPr>
              <w:t>2 years</w:t>
            </w:r>
          </w:p>
        </w:tc>
      </w:tr>
      <w:tr w:rsidR="00EA7D99" w:rsidRPr="00F7606D" w:rsidTr="0075275D">
        <w:tc>
          <w:tcPr>
            <w:tcW w:w="3964" w:type="dxa"/>
          </w:tcPr>
          <w:p w:rsidR="00EA7D99" w:rsidRDefault="00EA7D99" w:rsidP="00EA7D99">
            <w:pPr>
              <w:tabs>
                <w:tab w:val="clear" w:pos="510"/>
              </w:tabs>
              <w:spacing w:line="240" w:lineRule="auto"/>
              <w:contextualSpacing/>
              <w:rPr>
                <w:b/>
                <w:i/>
              </w:rPr>
            </w:pPr>
            <w:r w:rsidRPr="00F7606D">
              <w:rPr>
                <w:b/>
                <w:i/>
                <w:szCs w:val="22"/>
                <w:lang w:val="en-GB"/>
              </w:rPr>
              <w:t>DEFINE (2012)</w:t>
            </w:r>
          </w:p>
          <w:p w:rsidR="00ED54B6" w:rsidRDefault="00ED54B6" w:rsidP="00EA7D99">
            <w:pPr>
              <w:tabs>
                <w:tab w:val="clear" w:pos="510"/>
              </w:tabs>
              <w:spacing w:line="240" w:lineRule="auto"/>
              <w:contextualSpacing/>
              <w:rPr>
                <w:b/>
                <w:i/>
              </w:rPr>
            </w:pPr>
            <w:r w:rsidRPr="00B61623">
              <w:rPr>
                <w:color w:val="000000" w:themeColor="text1"/>
                <w:lang w:val="en-US"/>
              </w:rPr>
              <w:t xml:space="preserve">Gold R, Kappos L, Arnold DL, Bar-Or A, Giovannoni G, Selmaj K, et al. Placebo-controlled phase 3 study of oral BG-12 for relapsing multiple sclerosis. </w:t>
            </w:r>
            <w:r w:rsidRPr="00B62BC7">
              <w:rPr>
                <w:color w:val="000000" w:themeColor="text1"/>
              </w:rPr>
              <w:t>N Engl J Med 2012;367(12)</w:t>
            </w:r>
          </w:p>
          <w:p w:rsidR="00ED54B6" w:rsidRPr="00F7606D" w:rsidRDefault="00ED54B6" w:rsidP="00EA7D99">
            <w:pPr>
              <w:tabs>
                <w:tab w:val="clear" w:pos="510"/>
              </w:tabs>
              <w:spacing w:line="240" w:lineRule="auto"/>
              <w:contextualSpacing/>
              <w:rPr>
                <w:b/>
                <w:i/>
                <w:szCs w:val="22"/>
                <w:lang w:val="en-GB"/>
              </w:rPr>
            </w:pPr>
          </w:p>
          <w:p w:rsidR="00EA7D99" w:rsidRPr="00F7606D" w:rsidRDefault="00EA7D99" w:rsidP="00EA7D99">
            <w:pPr>
              <w:tabs>
                <w:tab w:val="clear" w:pos="510"/>
              </w:tabs>
              <w:spacing w:line="240" w:lineRule="auto"/>
              <w:contextualSpacing/>
              <w:rPr>
                <w:szCs w:val="22"/>
                <w:lang w:val="en-GB"/>
              </w:rPr>
            </w:pPr>
            <w:r w:rsidRPr="00F7606D">
              <w:rPr>
                <w:rFonts w:eastAsia="OTNEJMQuadraat" w:cs="OTNEJMQuadraat"/>
                <w:szCs w:val="22"/>
                <w:lang w:val="en-GB" w:eastAsia="en-US"/>
              </w:rPr>
              <w:t xml:space="preserve">Double-blind, in 28 countries </w:t>
            </w:r>
            <w:r w:rsidRPr="00F7606D">
              <w:rPr>
                <w:szCs w:val="22"/>
                <w:lang w:val="en-GB"/>
              </w:rPr>
              <w:t>including Europe, Canada, and US</w:t>
            </w:r>
          </w:p>
        </w:tc>
        <w:tc>
          <w:tcPr>
            <w:tcW w:w="6663" w:type="dxa"/>
            <w:gridSpan w:val="3"/>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bCs/>
                <w:sz w:val="22"/>
                <w:szCs w:val="22"/>
                <w:lang w:val="en-GB"/>
              </w:rPr>
              <w:t xml:space="preserve">- Dimethyl fumarate 240 mg oral twice daily </w:t>
            </w:r>
            <w:r w:rsidRPr="00F7606D">
              <w:rPr>
                <w:rFonts w:ascii="Georgia" w:hAnsi="Georgia"/>
                <w:sz w:val="22"/>
                <w:szCs w:val="22"/>
                <w:lang w:val="en-GB"/>
              </w:rPr>
              <w:t>(n = 410) [total 480 mg/day]</w:t>
            </w:r>
          </w:p>
          <w:p w:rsidR="00EA7D99" w:rsidRPr="00F7606D" w:rsidRDefault="00EA7D99" w:rsidP="00EA7D99">
            <w:pPr>
              <w:tabs>
                <w:tab w:val="clear" w:pos="510"/>
              </w:tabs>
              <w:spacing w:line="240" w:lineRule="auto"/>
              <w:contextualSpacing/>
              <w:rPr>
                <w:szCs w:val="22"/>
                <w:lang w:val="en-GB"/>
              </w:rPr>
            </w:pPr>
            <w:r w:rsidRPr="00F7606D">
              <w:rPr>
                <w:bCs/>
                <w:szCs w:val="22"/>
                <w:lang w:val="en-GB"/>
              </w:rPr>
              <w:t xml:space="preserve">- Dimethyl fumarate 240 mg oral three times daily </w:t>
            </w:r>
            <w:r w:rsidRPr="00F7606D">
              <w:rPr>
                <w:szCs w:val="22"/>
                <w:lang w:val="en-GB"/>
              </w:rPr>
              <w:t>(n = 416) [total 720 mg/day]</w:t>
            </w:r>
          </w:p>
          <w:p w:rsidR="00EA7D99" w:rsidRPr="00F7606D" w:rsidRDefault="00EA7D99" w:rsidP="00EA7D99">
            <w:pPr>
              <w:tabs>
                <w:tab w:val="clear" w:pos="510"/>
              </w:tabs>
              <w:spacing w:line="240" w:lineRule="auto"/>
              <w:contextualSpacing/>
              <w:rPr>
                <w:szCs w:val="22"/>
                <w:lang w:val="en-GB"/>
              </w:rPr>
            </w:pPr>
            <w:r w:rsidRPr="00F7606D">
              <w:rPr>
                <w:bCs/>
                <w:szCs w:val="22"/>
                <w:lang w:val="en-GB"/>
              </w:rPr>
              <w:t xml:space="preserve">- Placebo </w:t>
            </w:r>
            <w:r w:rsidRPr="00F7606D">
              <w:rPr>
                <w:szCs w:val="22"/>
                <w:lang w:val="en-GB"/>
              </w:rPr>
              <w:t>(n = 408)</w:t>
            </w:r>
          </w:p>
        </w:tc>
        <w:tc>
          <w:tcPr>
            <w:tcW w:w="1559" w:type="dxa"/>
          </w:tcPr>
          <w:p w:rsidR="00EA7D99" w:rsidRPr="00F7606D" w:rsidRDefault="00EA7D99" w:rsidP="00EA7D99">
            <w:pPr>
              <w:tabs>
                <w:tab w:val="clear" w:pos="510"/>
              </w:tabs>
              <w:spacing w:line="240" w:lineRule="auto"/>
              <w:contextualSpacing/>
              <w:rPr>
                <w:szCs w:val="22"/>
                <w:lang w:val="en-GB"/>
              </w:rPr>
            </w:pPr>
            <w:r w:rsidRPr="00F7606D">
              <w:rPr>
                <w:szCs w:val="22"/>
                <w:lang w:val="en-GB"/>
              </w:rPr>
              <w:t>Mixed</w:t>
            </w:r>
          </w:p>
        </w:tc>
        <w:tc>
          <w:tcPr>
            <w:tcW w:w="1417" w:type="dxa"/>
          </w:tcPr>
          <w:p w:rsidR="00EA7D99" w:rsidRPr="00F7606D" w:rsidRDefault="00EA7D99" w:rsidP="00EA7D99">
            <w:pPr>
              <w:tabs>
                <w:tab w:val="clear" w:pos="510"/>
              </w:tabs>
              <w:spacing w:line="240" w:lineRule="auto"/>
              <w:contextualSpacing/>
              <w:rPr>
                <w:szCs w:val="22"/>
                <w:lang w:val="en-GB"/>
              </w:rPr>
            </w:pPr>
            <w:r w:rsidRPr="00F7606D">
              <w:rPr>
                <w:szCs w:val="22"/>
                <w:lang w:val="en-GB"/>
              </w:rPr>
              <w:t>2 years</w:t>
            </w:r>
          </w:p>
        </w:tc>
      </w:tr>
      <w:tr w:rsidR="00EA7D99" w:rsidRPr="00F7606D" w:rsidTr="0075275D">
        <w:tc>
          <w:tcPr>
            <w:tcW w:w="3964" w:type="dxa"/>
          </w:tcPr>
          <w:p w:rsidR="00EA7D99" w:rsidRDefault="00EA7D99" w:rsidP="00EA7D99">
            <w:pPr>
              <w:tabs>
                <w:tab w:val="clear" w:pos="510"/>
              </w:tabs>
              <w:spacing w:line="240" w:lineRule="auto"/>
              <w:contextualSpacing/>
              <w:rPr>
                <w:b/>
                <w:i/>
              </w:rPr>
            </w:pPr>
            <w:r w:rsidRPr="00F7606D">
              <w:rPr>
                <w:b/>
                <w:i/>
                <w:szCs w:val="22"/>
                <w:lang w:val="en-GB"/>
              </w:rPr>
              <w:t xml:space="preserve">CONFIRM (2012) </w:t>
            </w:r>
          </w:p>
          <w:p w:rsidR="00ED54B6" w:rsidRDefault="00ED54B6" w:rsidP="00EA7D99">
            <w:pPr>
              <w:tabs>
                <w:tab w:val="clear" w:pos="510"/>
              </w:tabs>
              <w:spacing w:line="240" w:lineRule="auto"/>
              <w:contextualSpacing/>
              <w:rPr>
                <w:b/>
                <w:i/>
              </w:rPr>
            </w:pPr>
            <w:r w:rsidRPr="00B62BC7">
              <w:rPr>
                <w:color w:val="000000" w:themeColor="text1"/>
              </w:rPr>
              <w:t xml:space="preserve">Fox RJ, Miller DH, Phillips JT, Hutchinson M, Havrdova E, Kita M, et al. </w:t>
            </w:r>
            <w:r w:rsidRPr="00B61623">
              <w:rPr>
                <w:color w:val="000000" w:themeColor="text1"/>
                <w:lang w:val="en-US"/>
              </w:rPr>
              <w:t>Placebo-controlled phase 3 study of oral BG-12 or glatiramer in multiple sclerosis. N Engl J Med 2012;367(12):1087-1097.</w:t>
            </w:r>
          </w:p>
          <w:p w:rsidR="00ED54B6" w:rsidRPr="00F7606D" w:rsidRDefault="00ED54B6" w:rsidP="00EA7D99">
            <w:pPr>
              <w:tabs>
                <w:tab w:val="clear" w:pos="510"/>
              </w:tabs>
              <w:spacing w:line="240" w:lineRule="auto"/>
              <w:contextualSpacing/>
              <w:rPr>
                <w:b/>
                <w:i/>
                <w:szCs w:val="22"/>
                <w:lang w:val="en-GB"/>
              </w:rPr>
            </w:pPr>
          </w:p>
          <w:p w:rsidR="00EA7D99" w:rsidRPr="00F7606D" w:rsidRDefault="00EA7D99" w:rsidP="00EA7D99">
            <w:pPr>
              <w:tabs>
                <w:tab w:val="clear" w:pos="510"/>
              </w:tabs>
              <w:spacing w:line="240" w:lineRule="auto"/>
              <w:contextualSpacing/>
              <w:rPr>
                <w:b/>
                <w:i/>
                <w:szCs w:val="22"/>
                <w:lang w:val="en-GB"/>
              </w:rPr>
            </w:pPr>
            <w:r w:rsidRPr="00F7606D">
              <w:rPr>
                <w:rFonts w:eastAsiaTheme="minorHAnsi" w:cs="AdvAGaramond-R"/>
                <w:color w:val="231F20"/>
                <w:szCs w:val="22"/>
                <w:lang w:val="en-GB" w:eastAsia="en-US"/>
              </w:rPr>
              <w:t>Rater-blinded, in 200 research sites in 28 countries including Europe and North America</w:t>
            </w:r>
          </w:p>
        </w:tc>
        <w:tc>
          <w:tcPr>
            <w:tcW w:w="6663" w:type="dxa"/>
            <w:gridSpan w:val="3"/>
          </w:tcPr>
          <w:p w:rsidR="00EA7D99" w:rsidRPr="00B4105F" w:rsidRDefault="00EA7D99" w:rsidP="00EA7D99">
            <w:pPr>
              <w:tabs>
                <w:tab w:val="clear" w:pos="510"/>
              </w:tabs>
              <w:autoSpaceDE w:val="0"/>
              <w:autoSpaceDN w:val="0"/>
              <w:adjustRightInd w:val="0"/>
              <w:spacing w:line="240" w:lineRule="auto"/>
              <w:contextualSpacing/>
              <w:jc w:val="both"/>
              <w:rPr>
                <w:rFonts w:asciiTheme="minorHAnsi" w:eastAsiaTheme="minorHAnsi" w:hAnsiTheme="minorHAnsi" w:cs="OTNEJMQuadraat"/>
                <w:szCs w:val="22"/>
                <w:lang w:val="pt-PT" w:eastAsia="en-US"/>
              </w:rPr>
            </w:pPr>
            <w:r w:rsidRPr="00B4105F">
              <w:rPr>
                <w:rFonts w:asciiTheme="minorHAnsi" w:eastAsiaTheme="minorHAnsi" w:hAnsiTheme="minorHAnsi" w:cs="OTNEJMQuadraat"/>
                <w:szCs w:val="22"/>
                <w:lang w:val="pt-PT" w:eastAsia="en-US"/>
              </w:rPr>
              <w:t>- Dimethyl fumarate 240 mg b.i.d, (n=359)</w:t>
            </w:r>
          </w:p>
          <w:p w:rsidR="00EA7D99" w:rsidRPr="00F7606D" w:rsidRDefault="00EA7D99" w:rsidP="00EA7D99">
            <w:pPr>
              <w:tabs>
                <w:tab w:val="clear" w:pos="510"/>
              </w:tabs>
              <w:spacing w:line="240" w:lineRule="auto"/>
              <w:contextualSpacing/>
              <w:rPr>
                <w:rFonts w:asciiTheme="minorHAnsi" w:eastAsiaTheme="minorHAnsi" w:hAnsiTheme="minorHAnsi" w:cs="OTNEJMQuadraat"/>
                <w:szCs w:val="22"/>
                <w:lang w:val="en-GB" w:eastAsia="en-US"/>
              </w:rPr>
            </w:pPr>
            <w:r w:rsidRPr="00F7606D">
              <w:rPr>
                <w:rFonts w:asciiTheme="minorHAnsi" w:eastAsiaTheme="minorHAnsi" w:hAnsiTheme="minorHAnsi" w:cs="OTNEJMQuadraat"/>
                <w:szCs w:val="22"/>
                <w:lang w:val="en-GB" w:eastAsia="en-US"/>
              </w:rPr>
              <w:t>- Dimethyl fumarate 240 mg three times daily (n=345), subcutaneous daily injections of 20 mg of glatiramer acetate for 96 weeks (n=350)</w:t>
            </w:r>
          </w:p>
          <w:p w:rsidR="00EA7D99" w:rsidRPr="00F7606D" w:rsidRDefault="00EA7D99" w:rsidP="00EA7D99">
            <w:pPr>
              <w:pStyle w:val="Default"/>
              <w:contextualSpacing/>
              <w:jc w:val="both"/>
              <w:rPr>
                <w:rFonts w:ascii="Georgia" w:hAnsi="Georgia"/>
                <w:bCs/>
                <w:sz w:val="22"/>
                <w:szCs w:val="22"/>
                <w:lang w:val="en-GB"/>
              </w:rPr>
            </w:pPr>
            <w:r w:rsidRPr="00F7606D">
              <w:rPr>
                <w:rFonts w:asciiTheme="minorHAnsi" w:hAnsiTheme="minorHAnsi" w:cs="AdvP641C"/>
                <w:sz w:val="22"/>
                <w:szCs w:val="22"/>
                <w:lang w:val="en-GB"/>
              </w:rPr>
              <w:t>- Placebo (n=363)</w:t>
            </w:r>
          </w:p>
        </w:tc>
        <w:tc>
          <w:tcPr>
            <w:tcW w:w="1559" w:type="dxa"/>
          </w:tcPr>
          <w:p w:rsidR="00EA7D99" w:rsidRPr="00F7606D" w:rsidRDefault="00EA7D99" w:rsidP="00EA7D99">
            <w:pPr>
              <w:tabs>
                <w:tab w:val="clear" w:pos="510"/>
              </w:tabs>
              <w:spacing w:line="240" w:lineRule="auto"/>
              <w:contextualSpacing/>
              <w:rPr>
                <w:szCs w:val="22"/>
                <w:lang w:val="en-GB"/>
              </w:rPr>
            </w:pPr>
            <w:r w:rsidRPr="00F7606D">
              <w:rPr>
                <w:szCs w:val="22"/>
                <w:lang w:val="en-GB"/>
              </w:rPr>
              <w:t>Mixed</w:t>
            </w:r>
          </w:p>
        </w:tc>
        <w:tc>
          <w:tcPr>
            <w:tcW w:w="1417" w:type="dxa"/>
          </w:tcPr>
          <w:p w:rsidR="00EA7D99" w:rsidRPr="00F7606D" w:rsidRDefault="00EA7D99" w:rsidP="00EA7D99">
            <w:pPr>
              <w:tabs>
                <w:tab w:val="clear" w:pos="510"/>
              </w:tabs>
              <w:spacing w:line="240" w:lineRule="auto"/>
              <w:contextualSpacing/>
              <w:rPr>
                <w:szCs w:val="22"/>
                <w:lang w:val="en-GB"/>
              </w:rPr>
            </w:pPr>
            <w:r w:rsidRPr="00F7606D">
              <w:rPr>
                <w:szCs w:val="22"/>
                <w:lang w:val="en-GB"/>
              </w:rPr>
              <w:t>2 years</w:t>
            </w:r>
          </w:p>
        </w:tc>
      </w:tr>
      <w:tr w:rsidR="003C1176" w:rsidRPr="00F7606D" w:rsidTr="0075275D">
        <w:tc>
          <w:tcPr>
            <w:tcW w:w="3964" w:type="dxa"/>
          </w:tcPr>
          <w:p w:rsidR="003C1176" w:rsidRDefault="003C1176" w:rsidP="00302407">
            <w:pPr>
              <w:tabs>
                <w:tab w:val="clear" w:pos="510"/>
              </w:tabs>
              <w:spacing w:line="240" w:lineRule="auto"/>
              <w:contextualSpacing/>
              <w:rPr>
                <w:b/>
                <w:i/>
                <w:szCs w:val="22"/>
                <w:lang w:val="en-GB"/>
              </w:rPr>
            </w:pPr>
            <w:r w:rsidRPr="00F7606D">
              <w:rPr>
                <w:b/>
                <w:i/>
                <w:szCs w:val="22"/>
                <w:lang w:val="en-GB"/>
              </w:rPr>
              <w:t xml:space="preserve">FREEDOMS (2010) </w:t>
            </w:r>
          </w:p>
          <w:p w:rsidR="00ED54B6" w:rsidRDefault="00ED54B6" w:rsidP="00302407">
            <w:pPr>
              <w:tabs>
                <w:tab w:val="clear" w:pos="510"/>
              </w:tabs>
              <w:spacing w:line="240" w:lineRule="auto"/>
              <w:contextualSpacing/>
              <w:rPr>
                <w:b/>
                <w:i/>
                <w:szCs w:val="22"/>
                <w:lang w:val="en-GB"/>
              </w:rPr>
            </w:pPr>
            <w:r w:rsidRPr="00B61623">
              <w:rPr>
                <w:color w:val="000000" w:themeColor="text1"/>
                <w:lang w:val="en-US"/>
              </w:rPr>
              <w:t>Kappos L, Radue EW, O'Connor P, Polman C, Hohlfeld R, Calabresi P, et al. A placebo-controlled trial of oral fingolimod in relapsing multiple sclerosis. N Engl J Med 2010;362(5):387-401.</w:t>
            </w:r>
          </w:p>
          <w:p w:rsidR="00ED54B6" w:rsidRPr="00F7606D" w:rsidRDefault="00ED54B6" w:rsidP="00302407">
            <w:pPr>
              <w:tabs>
                <w:tab w:val="clear" w:pos="510"/>
              </w:tabs>
              <w:spacing w:line="240" w:lineRule="auto"/>
              <w:contextualSpacing/>
              <w:rPr>
                <w:i/>
                <w:szCs w:val="22"/>
                <w:lang w:val="en-GB"/>
              </w:rPr>
            </w:pPr>
          </w:p>
          <w:p w:rsidR="003C1176" w:rsidRPr="00F7606D" w:rsidRDefault="003C1176" w:rsidP="00302407">
            <w:pPr>
              <w:tabs>
                <w:tab w:val="clear" w:pos="510"/>
              </w:tabs>
              <w:spacing w:line="240" w:lineRule="auto"/>
              <w:contextualSpacing/>
              <w:rPr>
                <w:szCs w:val="22"/>
                <w:lang w:val="en-GB"/>
              </w:rPr>
            </w:pPr>
            <w:r w:rsidRPr="00F7606D">
              <w:rPr>
                <w:szCs w:val="22"/>
                <w:lang w:val="en-GB"/>
              </w:rPr>
              <w:t>Double-blind, multi-centre in Australia, Canada, Europe, and South Africa (</w:t>
            </w:r>
            <w:r w:rsidRPr="00F7606D">
              <w:rPr>
                <w:rFonts w:eastAsia="OTNEJMQuadraat" w:cs="OTNEJMQuadraat"/>
                <w:szCs w:val="22"/>
                <w:lang w:val="en-GB" w:eastAsia="en-US"/>
              </w:rPr>
              <w:t>138 centers in 22 countries)</w:t>
            </w:r>
          </w:p>
        </w:tc>
        <w:tc>
          <w:tcPr>
            <w:tcW w:w="6663" w:type="dxa"/>
            <w:gridSpan w:val="3"/>
          </w:tcPr>
          <w:p w:rsidR="003C1176" w:rsidRPr="00B4105F" w:rsidRDefault="003C1176" w:rsidP="00302407">
            <w:pPr>
              <w:pStyle w:val="Default"/>
              <w:contextualSpacing/>
              <w:jc w:val="both"/>
              <w:rPr>
                <w:rFonts w:ascii="Georgia" w:hAnsi="Georgia"/>
                <w:sz w:val="22"/>
                <w:szCs w:val="22"/>
                <w:lang w:val="pt-PT"/>
              </w:rPr>
            </w:pPr>
            <w:r w:rsidRPr="00B4105F">
              <w:rPr>
                <w:rFonts w:ascii="Georgia" w:hAnsi="Georgia"/>
                <w:bCs/>
                <w:sz w:val="22"/>
                <w:szCs w:val="22"/>
                <w:lang w:val="pt-PT"/>
              </w:rPr>
              <w:t xml:space="preserve">- Fingolimod oral 0.5 mg q.d. </w:t>
            </w:r>
            <w:r w:rsidRPr="00B4105F">
              <w:rPr>
                <w:rFonts w:ascii="Georgia" w:hAnsi="Georgia"/>
                <w:sz w:val="22"/>
                <w:szCs w:val="22"/>
                <w:lang w:val="pt-PT"/>
              </w:rPr>
              <w:t xml:space="preserve">(n = 425) </w:t>
            </w:r>
          </w:p>
          <w:p w:rsidR="003C1176" w:rsidRPr="00B4105F" w:rsidRDefault="003C1176" w:rsidP="00302407">
            <w:pPr>
              <w:tabs>
                <w:tab w:val="clear" w:pos="510"/>
              </w:tabs>
              <w:spacing w:line="240" w:lineRule="auto"/>
              <w:contextualSpacing/>
              <w:rPr>
                <w:szCs w:val="22"/>
                <w:lang w:val="pt-PT"/>
              </w:rPr>
            </w:pPr>
            <w:r w:rsidRPr="00B4105F">
              <w:rPr>
                <w:bCs/>
                <w:szCs w:val="22"/>
                <w:lang w:val="pt-PT"/>
              </w:rPr>
              <w:t xml:space="preserve">- Fingolimod oral 1,25 mg q.d. </w:t>
            </w:r>
            <w:r w:rsidRPr="00B4105F">
              <w:rPr>
                <w:szCs w:val="22"/>
                <w:lang w:val="pt-PT"/>
              </w:rPr>
              <w:t>(n = 429)</w:t>
            </w:r>
          </w:p>
          <w:p w:rsidR="003C1176" w:rsidRPr="00F7606D" w:rsidRDefault="003C1176" w:rsidP="00302407">
            <w:pPr>
              <w:tabs>
                <w:tab w:val="clear" w:pos="510"/>
              </w:tabs>
              <w:spacing w:line="240" w:lineRule="auto"/>
              <w:contextualSpacing/>
              <w:rPr>
                <w:szCs w:val="22"/>
                <w:lang w:val="en-GB"/>
              </w:rPr>
            </w:pPr>
            <w:r w:rsidRPr="00F7606D">
              <w:rPr>
                <w:bCs/>
                <w:szCs w:val="22"/>
                <w:lang w:val="en-GB"/>
              </w:rPr>
              <w:t xml:space="preserve">- Placebo </w:t>
            </w:r>
            <w:r w:rsidRPr="00F7606D">
              <w:rPr>
                <w:szCs w:val="22"/>
                <w:lang w:val="en-GB"/>
              </w:rPr>
              <w:t>(n = 418)</w:t>
            </w:r>
          </w:p>
        </w:tc>
        <w:tc>
          <w:tcPr>
            <w:tcW w:w="1559"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Mixed</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2 years</w:t>
            </w:r>
          </w:p>
        </w:tc>
      </w:tr>
      <w:tr w:rsidR="003C1176" w:rsidRPr="00F7606D" w:rsidTr="0075275D">
        <w:tc>
          <w:tcPr>
            <w:tcW w:w="3964" w:type="dxa"/>
          </w:tcPr>
          <w:p w:rsidR="003C1176" w:rsidRDefault="003C1176" w:rsidP="00302407">
            <w:pPr>
              <w:tabs>
                <w:tab w:val="clear" w:pos="510"/>
              </w:tabs>
              <w:spacing w:line="240" w:lineRule="auto"/>
              <w:contextualSpacing/>
              <w:rPr>
                <w:b/>
                <w:i/>
                <w:szCs w:val="22"/>
                <w:lang w:val="en-GB"/>
              </w:rPr>
            </w:pPr>
            <w:r w:rsidRPr="00F7606D">
              <w:rPr>
                <w:b/>
                <w:i/>
                <w:szCs w:val="22"/>
                <w:lang w:val="en-GB"/>
              </w:rPr>
              <w:t xml:space="preserve">TRANSFORMS (2010) </w:t>
            </w:r>
          </w:p>
          <w:p w:rsidR="00ED54B6" w:rsidRDefault="00ED54B6" w:rsidP="00302407">
            <w:pPr>
              <w:tabs>
                <w:tab w:val="clear" w:pos="510"/>
              </w:tabs>
              <w:spacing w:line="240" w:lineRule="auto"/>
              <w:contextualSpacing/>
              <w:rPr>
                <w:b/>
                <w:i/>
                <w:szCs w:val="22"/>
                <w:lang w:val="en-GB"/>
              </w:rPr>
            </w:pPr>
            <w:r w:rsidRPr="00ED54B6">
              <w:rPr>
                <w:color w:val="000000" w:themeColor="text1"/>
              </w:rPr>
              <w:t xml:space="preserve">Cohen JA, Barkhof F, Comi G, Hartung HP, Khatri BO, Montalban X, et al. </w:t>
            </w:r>
            <w:r w:rsidRPr="00B61623">
              <w:rPr>
                <w:color w:val="000000" w:themeColor="text1"/>
                <w:lang w:val="en-US"/>
              </w:rPr>
              <w:t>Oral fingolimod or intramuscular interferon for relapsing multiple sclerosis. N Engl J Med 2010;362(5):402-415.</w:t>
            </w:r>
          </w:p>
          <w:p w:rsidR="00ED54B6" w:rsidRPr="00F7606D" w:rsidRDefault="00ED54B6" w:rsidP="00302407">
            <w:pPr>
              <w:tabs>
                <w:tab w:val="clear" w:pos="510"/>
              </w:tabs>
              <w:spacing w:line="240" w:lineRule="auto"/>
              <w:contextualSpacing/>
              <w:rPr>
                <w:b/>
                <w:i/>
                <w:szCs w:val="22"/>
                <w:lang w:val="en-GB"/>
              </w:rPr>
            </w:pPr>
          </w:p>
          <w:p w:rsidR="003C1176" w:rsidRPr="00F7606D" w:rsidRDefault="003C1176" w:rsidP="00302407">
            <w:pPr>
              <w:tabs>
                <w:tab w:val="clear" w:pos="510"/>
              </w:tabs>
              <w:spacing w:line="240" w:lineRule="auto"/>
              <w:contextualSpacing/>
              <w:rPr>
                <w:szCs w:val="22"/>
                <w:lang w:val="en-GB"/>
              </w:rPr>
            </w:pPr>
            <w:r w:rsidRPr="00F7606D">
              <w:rPr>
                <w:szCs w:val="22"/>
                <w:lang w:val="en-GB"/>
              </w:rPr>
              <w:t>Double-blind, in 172 centres in 18 countries including Canada, Australia, Europe, and US.</w:t>
            </w:r>
          </w:p>
        </w:tc>
        <w:tc>
          <w:tcPr>
            <w:tcW w:w="6663" w:type="dxa"/>
            <w:gridSpan w:val="3"/>
          </w:tcPr>
          <w:p w:rsidR="003C1176" w:rsidRPr="00B4105F" w:rsidRDefault="003C1176" w:rsidP="00302407">
            <w:pPr>
              <w:pStyle w:val="Default"/>
              <w:contextualSpacing/>
              <w:jc w:val="both"/>
              <w:rPr>
                <w:rFonts w:ascii="Georgia" w:hAnsi="Georgia"/>
                <w:sz w:val="22"/>
                <w:szCs w:val="22"/>
                <w:lang w:val="pt-PT"/>
              </w:rPr>
            </w:pPr>
            <w:r w:rsidRPr="00B4105F">
              <w:rPr>
                <w:rFonts w:ascii="Georgia" w:hAnsi="Georgia"/>
                <w:bCs/>
                <w:sz w:val="22"/>
                <w:szCs w:val="22"/>
                <w:lang w:val="pt-PT"/>
              </w:rPr>
              <w:t xml:space="preserve">- Fingolimod oral 0.5 mg q.d. </w:t>
            </w:r>
            <w:r w:rsidRPr="00B4105F">
              <w:rPr>
                <w:rFonts w:ascii="Georgia" w:hAnsi="Georgia"/>
                <w:sz w:val="22"/>
                <w:szCs w:val="22"/>
                <w:lang w:val="pt-PT"/>
              </w:rPr>
              <w:t>(n=431)</w:t>
            </w:r>
          </w:p>
          <w:p w:rsidR="003C1176" w:rsidRPr="00B4105F" w:rsidRDefault="003C1176" w:rsidP="00302407">
            <w:pPr>
              <w:tabs>
                <w:tab w:val="clear" w:pos="510"/>
              </w:tabs>
              <w:spacing w:line="240" w:lineRule="auto"/>
              <w:contextualSpacing/>
              <w:rPr>
                <w:bCs/>
                <w:szCs w:val="22"/>
                <w:lang w:val="pt-PT"/>
              </w:rPr>
            </w:pPr>
            <w:r w:rsidRPr="00B4105F">
              <w:rPr>
                <w:bCs/>
                <w:szCs w:val="22"/>
                <w:lang w:val="pt-PT"/>
              </w:rPr>
              <w:t>- Fingolimod oral 1.25 mg q.d. (n=426)</w:t>
            </w:r>
          </w:p>
          <w:p w:rsidR="003C1176" w:rsidRPr="00B4105F" w:rsidRDefault="003C1176" w:rsidP="00302407">
            <w:pPr>
              <w:tabs>
                <w:tab w:val="clear" w:pos="510"/>
              </w:tabs>
              <w:spacing w:line="240" w:lineRule="auto"/>
              <w:contextualSpacing/>
              <w:rPr>
                <w:szCs w:val="22"/>
                <w:lang w:val="pt-PT"/>
              </w:rPr>
            </w:pPr>
            <w:r w:rsidRPr="00B4105F">
              <w:rPr>
                <w:bCs/>
                <w:szCs w:val="22"/>
                <w:lang w:val="pt-PT"/>
              </w:rPr>
              <w:t xml:space="preserve">- Interferon beta-1a 30 mcg IM q.w. </w:t>
            </w:r>
            <w:r w:rsidRPr="00B4105F">
              <w:rPr>
                <w:szCs w:val="22"/>
                <w:lang w:val="pt-PT"/>
              </w:rPr>
              <w:t>(n=</w:t>
            </w:r>
            <w:r w:rsidRPr="00B4105F">
              <w:rPr>
                <w:bCs/>
                <w:szCs w:val="22"/>
                <w:lang w:val="pt-PT"/>
              </w:rPr>
              <w:t>435</w:t>
            </w:r>
            <w:r w:rsidRPr="00B4105F">
              <w:rPr>
                <w:szCs w:val="22"/>
                <w:lang w:val="pt-PT"/>
              </w:rPr>
              <w:t>)</w:t>
            </w:r>
          </w:p>
        </w:tc>
        <w:tc>
          <w:tcPr>
            <w:tcW w:w="1559"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Mixed</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1 year</w:t>
            </w:r>
          </w:p>
        </w:tc>
      </w:tr>
      <w:tr w:rsidR="003C1176" w:rsidRPr="00F7606D" w:rsidTr="0075275D">
        <w:tc>
          <w:tcPr>
            <w:tcW w:w="3964" w:type="dxa"/>
          </w:tcPr>
          <w:p w:rsidR="00ED54B6" w:rsidRPr="00ED54B6" w:rsidRDefault="00ED54B6" w:rsidP="00302407">
            <w:pPr>
              <w:tabs>
                <w:tab w:val="clear" w:pos="510"/>
              </w:tabs>
              <w:spacing w:line="240" w:lineRule="auto"/>
              <w:contextualSpacing/>
              <w:rPr>
                <w:b/>
                <w:i/>
                <w:szCs w:val="22"/>
                <w:lang w:val="en-GB"/>
              </w:rPr>
            </w:pPr>
            <w:r w:rsidRPr="00ED54B6">
              <w:rPr>
                <w:b/>
                <w:color w:val="000000" w:themeColor="text1"/>
                <w:lang w:val="en-US"/>
              </w:rPr>
              <w:t>Saida T, Kikuchi S, Itoyama Y, Hao Q, Kurosawa T, Nagato K, et al. A randomized, controlled trial of fingolimod (FTY720) in Japanese patients with multiple sclerosis. Mult Scler 2012;18(9):1269-1277.</w:t>
            </w:r>
          </w:p>
          <w:p w:rsidR="00ED54B6" w:rsidRPr="00F7606D" w:rsidRDefault="00ED54B6" w:rsidP="00302407">
            <w:pPr>
              <w:tabs>
                <w:tab w:val="clear" w:pos="510"/>
              </w:tabs>
              <w:spacing w:line="240" w:lineRule="auto"/>
              <w:contextualSpacing/>
              <w:rPr>
                <w:b/>
                <w:i/>
                <w:szCs w:val="22"/>
                <w:lang w:val="en-GB"/>
              </w:rPr>
            </w:pPr>
          </w:p>
          <w:p w:rsidR="003C1176" w:rsidRPr="00F7606D" w:rsidRDefault="003C1176" w:rsidP="00302407">
            <w:pPr>
              <w:tabs>
                <w:tab w:val="clear" w:pos="510"/>
              </w:tabs>
              <w:spacing w:line="240" w:lineRule="auto"/>
              <w:contextualSpacing/>
              <w:rPr>
                <w:szCs w:val="22"/>
                <w:lang w:val="en-GB"/>
              </w:rPr>
            </w:pPr>
            <w:r w:rsidRPr="00F7606D">
              <w:rPr>
                <w:szCs w:val="22"/>
                <w:lang w:val="en-GB"/>
              </w:rPr>
              <w:t>Double-blind, multicentre in Japan</w:t>
            </w:r>
          </w:p>
        </w:tc>
        <w:tc>
          <w:tcPr>
            <w:tcW w:w="6663" w:type="dxa"/>
            <w:gridSpan w:val="3"/>
          </w:tcPr>
          <w:p w:rsidR="003C1176" w:rsidRPr="00B4105F" w:rsidRDefault="003C1176" w:rsidP="00302407">
            <w:pPr>
              <w:pStyle w:val="Default"/>
              <w:contextualSpacing/>
              <w:jc w:val="both"/>
              <w:rPr>
                <w:rFonts w:ascii="Georgia" w:hAnsi="Georgia"/>
                <w:sz w:val="22"/>
                <w:szCs w:val="22"/>
                <w:lang w:val="pt-PT"/>
              </w:rPr>
            </w:pPr>
            <w:r w:rsidRPr="00B4105F">
              <w:rPr>
                <w:rFonts w:ascii="Georgia" w:hAnsi="Georgia"/>
                <w:bCs/>
                <w:sz w:val="22"/>
                <w:szCs w:val="22"/>
                <w:lang w:val="pt-PT"/>
              </w:rPr>
              <w:t>- Fingolimod oral 0.5 mg q.d. (n=57)</w:t>
            </w:r>
          </w:p>
          <w:p w:rsidR="003C1176" w:rsidRPr="00B4105F" w:rsidRDefault="003C1176" w:rsidP="00302407">
            <w:pPr>
              <w:tabs>
                <w:tab w:val="clear" w:pos="510"/>
              </w:tabs>
              <w:spacing w:line="240" w:lineRule="auto"/>
              <w:contextualSpacing/>
              <w:rPr>
                <w:szCs w:val="22"/>
                <w:lang w:val="pt-PT"/>
              </w:rPr>
            </w:pPr>
            <w:r w:rsidRPr="00B4105F">
              <w:rPr>
                <w:bCs/>
                <w:szCs w:val="22"/>
                <w:lang w:val="pt-PT"/>
              </w:rPr>
              <w:t xml:space="preserve">- Fingolimod oral 1.25 mg q.d. </w:t>
            </w:r>
            <w:r w:rsidRPr="00B4105F">
              <w:rPr>
                <w:szCs w:val="22"/>
                <w:lang w:val="pt-PT"/>
              </w:rPr>
              <w:t>(n=57</w:t>
            </w:r>
          </w:p>
          <w:p w:rsidR="003C1176" w:rsidRPr="00F7606D" w:rsidRDefault="003C1176" w:rsidP="00302407">
            <w:pPr>
              <w:tabs>
                <w:tab w:val="clear" w:pos="510"/>
              </w:tabs>
              <w:spacing w:line="240" w:lineRule="auto"/>
              <w:contextualSpacing/>
              <w:rPr>
                <w:szCs w:val="22"/>
                <w:lang w:val="en-GB"/>
              </w:rPr>
            </w:pPr>
            <w:r w:rsidRPr="00F7606D">
              <w:rPr>
                <w:bCs/>
                <w:szCs w:val="22"/>
                <w:lang w:val="en-GB"/>
              </w:rPr>
              <w:t>- Placebo (n=57)</w:t>
            </w:r>
          </w:p>
        </w:tc>
        <w:tc>
          <w:tcPr>
            <w:tcW w:w="1559"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Unclear</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6 months</w:t>
            </w:r>
          </w:p>
        </w:tc>
      </w:tr>
      <w:tr w:rsidR="003C1176" w:rsidRPr="00F7606D" w:rsidTr="0075275D">
        <w:trPr>
          <w:trHeight w:val="36"/>
        </w:trPr>
        <w:tc>
          <w:tcPr>
            <w:tcW w:w="3964" w:type="dxa"/>
          </w:tcPr>
          <w:p w:rsidR="00ED54B6" w:rsidRDefault="00EA7D99" w:rsidP="00302407">
            <w:pPr>
              <w:tabs>
                <w:tab w:val="clear" w:pos="510"/>
              </w:tabs>
              <w:spacing w:line="240" w:lineRule="auto"/>
              <w:contextualSpacing/>
              <w:rPr>
                <w:b/>
                <w:i/>
                <w:szCs w:val="22"/>
                <w:lang w:val="en-GB"/>
              </w:rPr>
            </w:pPr>
            <w:r w:rsidRPr="00ED54B6">
              <w:rPr>
                <w:i/>
                <w:sz w:val="18"/>
                <w:szCs w:val="18"/>
                <w:lang w:val="en-GB"/>
              </w:rPr>
              <w:br w:type="page"/>
            </w:r>
            <w:r w:rsidR="003C1176" w:rsidRPr="00F7606D">
              <w:rPr>
                <w:b/>
                <w:i/>
                <w:szCs w:val="22"/>
                <w:lang w:val="en-GB"/>
              </w:rPr>
              <w:t>FREEDOMS II (2014)</w:t>
            </w:r>
          </w:p>
          <w:p w:rsidR="003C1176" w:rsidRPr="00ED54B6" w:rsidRDefault="00ED54B6" w:rsidP="00302407">
            <w:pPr>
              <w:tabs>
                <w:tab w:val="clear" w:pos="510"/>
              </w:tabs>
              <w:spacing w:line="240" w:lineRule="auto"/>
              <w:contextualSpacing/>
              <w:rPr>
                <w:color w:val="000000" w:themeColor="text1"/>
                <w:lang w:val="en-US"/>
              </w:rPr>
            </w:pPr>
            <w:r w:rsidRPr="00ED54B6">
              <w:rPr>
                <w:color w:val="000000" w:themeColor="text1"/>
                <w:lang w:val="en-US"/>
              </w:rPr>
              <w:t>Corrections to Safety and efficacy of fingolimod in patients with relapsing-remitting multiple sclerosis (FREEDOMS II): A double-blind, randomised, placebo-controlled, phase 3 trial. [Lancet Neurol 13 (2014) 545-56]. The Lancet Neurology 2014;13(6):536.</w:t>
            </w:r>
          </w:p>
          <w:p w:rsidR="00ED54B6" w:rsidRDefault="00ED54B6" w:rsidP="00302407">
            <w:pPr>
              <w:tabs>
                <w:tab w:val="clear" w:pos="510"/>
              </w:tabs>
              <w:spacing w:line="240" w:lineRule="auto"/>
              <w:contextualSpacing/>
              <w:rPr>
                <w:i/>
                <w:szCs w:val="22"/>
                <w:lang w:val="en-GB"/>
              </w:rPr>
            </w:pPr>
          </w:p>
          <w:p w:rsidR="00ED54B6" w:rsidRPr="00ED54B6" w:rsidRDefault="00ED54B6" w:rsidP="00302407">
            <w:pPr>
              <w:tabs>
                <w:tab w:val="clear" w:pos="510"/>
              </w:tabs>
              <w:spacing w:line="240" w:lineRule="auto"/>
              <w:contextualSpacing/>
              <w:rPr>
                <w:i/>
                <w:szCs w:val="22"/>
                <w:lang w:val="en-GB"/>
              </w:rPr>
            </w:pPr>
            <w:r w:rsidRPr="00B61623">
              <w:rPr>
                <w:color w:val="000000" w:themeColor="text1"/>
                <w:lang w:val="en-US"/>
              </w:rPr>
              <w:t>Calabresi PA, Radue EW, Goodin D, Jeffery D, Rammohan KW, Reder AT, et al. Safety and efficacy of fingolimod in patients with relapsing-remitting multiple sclerosis (FREEDOMS II): A double-blind, randomised, placebo-controlled, phase 3 trial. The Lancet Neurology 2014;13(6):545-556.</w:t>
            </w:r>
          </w:p>
          <w:p w:rsidR="00ED54B6" w:rsidRPr="00F7606D" w:rsidRDefault="00ED54B6" w:rsidP="00302407">
            <w:pPr>
              <w:tabs>
                <w:tab w:val="clear" w:pos="510"/>
              </w:tabs>
              <w:spacing w:line="240" w:lineRule="auto"/>
              <w:contextualSpacing/>
              <w:rPr>
                <w:b/>
                <w:i/>
                <w:szCs w:val="22"/>
                <w:lang w:val="en-GB"/>
              </w:rPr>
            </w:pPr>
          </w:p>
          <w:p w:rsidR="003C1176" w:rsidRPr="00F7606D" w:rsidRDefault="003C1176" w:rsidP="00302407">
            <w:pPr>
              <w:tabs>
                <w:tab w:val="clear" w:pos="510"/>
              </w:tabs>
              <w:spacing w:line="240" w:lineRule="auto"/>
              <w:contextualSpacing/>
              <w:rPr>
                <w:szCs w:val="22"/>
                <w:lang w:val="en-GB"/>
              </w:rPr>
            </w:pPr>
            <w:r w:rsidRPr="00F7606D">
              <w:rPr>
                <w:rFonts w:eastAsia="ScalaLancetPro" w:cs="ScalaLancetPro"/>
                <w:szCs w:val="22"/>
                <w:lang w:val="en-GB" w:eastAsia="en-US"/>
              </w:rPr>
              <w:t>Double-blind,</w:t>
            </w:r>
            <w:r w:rsidRPr="00F7606D">
              <w:rPr>
                <w:szCs w:val="22"/>
                <w:lang w:val="en-GB"/>
              </w:rPr>
              <w:t xml:space="preserve"> i</w:t>
            </w:r>
            <w:r w:rsidRPr="00F7606D">
              <w:rPr>
                <w:rFonts w:eastAsia="ScalaLancetPro" w:cs="ScalaLancetPro"/>
                <w:szCs w:val="22"/>
                <w:lang w:val="en-GB" w:eastAsia="en-US"/>
              </w:rPr>
              <w:t>n 117 academic and tertiary referral centres in 8 countries, most patients included in the USA</w:t>
            </w:r>
          </w:p>
        </w:tc>
        <w:tc>
          <w:tcPr>
            <w:tcW w:w="6663" w:type="dxa"/>
            <w:gridSpan w:val="3"/>
          </w:tcPr>
          <w:p w:rsidR="003C1176" w:rsidRPr="00B4105F" w:rsidRDefault="003C1176" w:rsidP="00302407">
            <w:pPr>
              <w:tabs>
                <w:tab w:val="clear" w:pos="510"/>
              </w:tabs>
              <w:autoSpaceDE w:val="0"/>
              <w:autoSpaceDN w:val="0"/>
              <w:adjustRightInd w:val="0"/>
              <w:spacing w:line="240" w:lineRule="auto"/>
              <w:contextualSpacing/>
              <w:jc w:val="both"/>
              <w:rPr>
                <w:rFonts w:eastAsia="ScalaLancetPro" w:cs="ScalaLancetPro"/>
                <w:szCs w:val="22"/>
                <w:lang w:val="pt-PT" w:eastAsia="en-US"/>
              </w:rPr>
            </w:pPr>
            <w:r w:rsidRPr="00B4105F">
              <w:rPr>
                <w:rFonts w:eastAsia="ScalaLancetPro" w:cs="ScalaLancetPro"/>
                <w:szCs w:val="22"/>
                <w:lang w:val="pt-PT" w:eastAsia="en-US"/>
              </w:rPr>
              <w:t>- Fingolimod 0.5 mg oral q.d. (n=358)</w:t>
            </w:r>
          </w:p>
          <w:p w:rsidR="003C1176" w:rsidRPr="00B4105F" w:rsidRDefault="003C1176" w:rsidP="00302407">
            <w:pPr>
              <w:tabs>
                <w:tab w:val="clear" w:pos="510"/>
              </w:tabs>
              <w:autoSpaceDE w:val="0"/>
              <w:autoSpaceDN w:val="0"/>
              <w:adjustRightInd w:val="0"/>
              <w:spacing w:line="240" w:lineRule="auto"/>
              <w:contextualSpacing/>
              <w:jc w:val="both"/>
              <w:rPr>
                <w:rFonts w:eastAsia="ScalaLancetPro" w:cs="ScalaLancetPro"/>
                <w:szCs w:val="22"/>
                <w:lang w:val="pt-PT" w:eastAsia="en-US"/>
              </w:rPr>
            </w:pPr>
            <w:r w:rsidRPr="00B4105F">
              <w:rPr>
                <w:rFonts w:eastAsia="ScalaLancetPro" w:cs="ScalaLancetPro"/>
                <w:szCs w:val="22"/>
                <w:lang w:val="pt-PT" w:eastAsia="en-US"/>
              </w:rPr>
              <w:t>- Fingolimod 1.25 mg oral q.d. (n=370)</w:t>
            </w:r>
          </w:p>
          <w:p w:rsidR="003C1176" w:rsidRPr="00F7606D" w:rsidRDefault="003C1176" w:rsidP="00302407">
            <w:pPr>
              <w:tabs>
                <w:tab w:val="clear" w:pos="510"/>
              </w:tabs>
              <w:spacing w:line="240" w:lineRule="auto"/>
              <w:contextualSpacing/>
              <w:rPr>
                <w:szCs w:val="22"/>
                <w:lang w:val="en-GB"/>
              </w:rPr>
            </w:pPr>
            <w:r w:rsidRPr="00F7606D">
              <w:rPr>
                <w:rFonts w:eastAsia="ScalaLancetPro" w:cs="ScalaLancetPro"/>
                <w:szCs w:val="22"/>
                <w:lang w:val="en-GB" w:eastAsia="en-US"/>
              </w:rPr>
              <w:t>- Placebo (n=355)</w:t>
            </w:r>
          </w:p>
        </w:tc>
        <w:tc>
          <w:tcPr>
            <w:tcW w:w="1559"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Unclear</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2 years</w:t>
            </w:r>
          </w:p>
        </w:tc>
      </w:tr>
      <w:tr w:rsidR="003C1176" w:rsidRPr="00F7606D" w:rsidTr="0075275D">
        <w:trPr>
          <w:trHeight w:val="36"/>
        </w:trPr>
        <w:tc>
          <w:tcPr>
            <w:tcW w:w="3964" w:type="dxa"/>
          </w:tcPr>
          <w:p w:rsidR="00ED54B6" w:rsidRPr="00DA53AF" w:rsidRDefault="00ED54B6" w:rsidP="00302407">
            <w:pPr>
              <w:tabs>
                <w:tab w:val="clear" w:pos="510"/>
              </w:tabs>
              <w:spacing w:line="240" w:lineRule="auto"/>
              <w:contextualSpacing/>
              <w:rPr>
                <w:b/>
                <w:i/>
                <w:szCs w:val="22"/>
                <w:lang w:val="en-GB"/>
              </w:rPr>
            </w:pPr>
            <w:r w:rsidRPr="00DA53AF">
              <w:rPr>
                <w:b/>
                <w:i/>
                <w:szCs w:val="22"/>
              </w:rPr>
              <w:t xml:space="preserve">Johnson KP, Brooks BR, Cohen JA, Ford CC, Goldstein J, Lisak RP, et al. </w:t>
            </w:r>
            <w:r w:rsidRPr="00DA53AF">
              <w:rPr>
                <w:b/>
                <w:i/>
                <w:szCs w:val="22"/>
                <w:lang w:val="en-GB"/>
              </w:rPr>
              <w:t>Copolymer 1 reduces relapse rate and improves disability in relapsing-remitting multiple sclerosis: results of a phase III multicenter, double-blind placebo-controlled trial. The Copolymer 1 Multiple Sclerosis Study Group. Neurology 1995;45(7):1268-1276.</w:t>
            </w:r>
          </w:p>
          <w:p w:rsidR="00ED54B6" w:rsidRPr="00F7606D" w:rsidRDefault="00ED54B6" w:rsidP="00302407">
            <w:pPr>
              <w:tabs>
                <w:tab w:val="clear" w:pos="510"/>
              </w:tabs>
              <w:spacing w:line="240" w:lineRule="auto"/>
              <w:contextualSpacing/>
              <w:rPr>
                <w:b/>
                <w:szCs w:val="22"/>
                <w:lang w:val="en-GB"/>
              </w:rPr>
            </w:pPr>
          </w:p>
          <w:p w:rsidR="003C1176" w:rsidRPr="00F7606D" w:rsidRDefault="003C1176" w:rsidP="00302407">
            <w:pPr>
              <w:tabs>
                <w:tab w:val="clear" w:pos="510"/>
              </w:tabs>
              <w:spacing w:line="240" w:lineRule="auto"/>
              <w:contextualSpacing/>
              <w:rPr>
                <w:szCs w:val="22"/>
                <w:lang w:val="en-GB"/>
              </w:rPr>
            </w:pPr>
            <w:r w:rsidRPr="00F7606D">
              <w:rPr>
                <w:szCs w:val="22"/>
                <w:lang w:val="en-GB"/>
              </w:rPr>
              <w:t>Double-blind, in 11 centres in the US</w:t>
            </w:r>
          </w:p>
        </w:tc>
        <w:tc>
          <w:tcPr>
            <w:tcW w:w="6663" w:type="dxa"/>
            <w:gridSpan w:val="3"/>
          </w:tcPr>
          <w:p w:rsidR="003C1176" w:rsidRPr="00B4105F" w:rsidRDefault="003C1176" w:rsidP="00302407">
            <w:pPr>
              <w:tabs>
                <w:tab w:val="clear" w:pos="510"/>
              </w:tabs>
              <w:spacing w:line="240" w:lineRule="auto"/>
              <w:contextualSpacing/>
              <w:rPr>
                <w:szCs w:val="22"/>
                <w:lang w:val="pt-PT"/>
              </w:rPr>
            </w:pPr>
            <w:r w:rsidRPr="00B4105F">
              <w:rPr>
                <w:bCs/>
                <w:szCs w:val="22"/>
                <w:lang w:val="pt-PT"/>
              </w:rPr>
              <w:t xml:space="preserve">- Glatiramer acetate 20 mg SC q.d </w:t>
            </w:r>
            <w:r w:rsidRPr="00B4105F">
              <w:rPr>
                <w:szCs w:val="22"/>
                <w:lang w:val="pt-PT"/>
              </w:rPr>
              <w:t>(n =125)</w:t>
            </w:r>
          </w:p>
          <w:p w:rsidR="003C1176" w:rsidRPr="00F7606D" w:rsidRDefault="003C1176" w:rsidP="00302407">
            <w:pPr>
              <w:tabs>
                <w:tab w:val="clear" w:pos="510"/>
              </w:tabs>
              <w:spacing w:line="240" w:lineRule="auto"/>
              <w:contextualSpacing/>
              <w:rPr>
                <w:szCs w:val="22"/>
                <w:lang w:val="en-GB"/>
              </w:rPr>
            </w:pPr>
            <w:r w:rsidRPr="00F7606D">
              <w:rPr>
                <w:bCs/>
                <w:szCs w:val="22"/>
                <w:lang w:val="en-GB"/>
              </w:rPr>
              <w:t xml:space="preserve">- Placebo </w:t>
            </w:r>
            <w:r w:rsidRPr="00F7606D">
              <w:rPr>
                <w:szCs w:val="22"/>
                <w:lang w:val="en-GB"/>
              </w:rPr>
              <w:t>(n=126)</w:t>
            </w:r>
          </w:p>
        </w:tc>
        <w:tc>
          <w:tcPr>
            <w:tcW w:w="1559" w:type="dxa"/>
          </w:tcPr>
          <w:p w:rsidR="003C1176" w:rsidRPr="00F7606D" w:rsidRDefault="003C1176" w:rsidP="00302407">
            <w:pPr>
              <w:tabs>
                <w:tab w:val="clear" w:pos="510"/>
              </w:tabs>
              <w:spacing w:line="240" w:lineRule="auto"/>
              <w:contextualSpacing/>
              <w:rPr>
                <w:szCs w:val="22"/>
                <w:lang w:val="en-GB"/>
              </w:rPr>
            </w:pPr>
            <w:r w:rsidRPr="00F7606D">
              <w:rPr>
                <w:rFonts w:eastAsiaTheme="minorHAnsi"/>
                <w:szCs w:val="22"/>
                <w:lang w:val="en-GB" w:eastAsia="en-US"/>
              </w:rPr>
              <w:t>Treatment-naive</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2 years</w:t>
            </w:r>
          </w:p>
        </w:tc>
      </w:tr>
      <w:tr w:rsidR="003C1176" w:rsidRPr="00F7606D" w:rsidTr="0075275D">
        <w:trPr>
          <w:trHeight w:val="36"/>
        </w:trPr>
        <w:tc>
          <w:tcPr>
            <w:tcW w:w="3964" w:type="dxa"/>
          </w:tcPr>
          <w:p w:rsidR="00ED54B6" w:rsidRDefault="00ED54B6" w:rsidP="00302407">
            <w:pPr>
              <w:tabs>
                <w:tab w:val="clear" w:pos="510"/>
              </w:tabs>
              <w:spacing w:line="240" w:lineRule="auto"/>
              <w:contextualSpacing/>
              <w:rPr>
                <w:b/>
                <w:i/>
                <w:szCs w:val="22"/>
                <w:lang w:val="en-GB"/>
              </w:rPr>
            </w:pPr>
            <w:r w:rsidRPr="00DA53AF">
              <w:rPr>
                <w:b/>
                <w:i/>
                <w:szCs w:val="22"/>
                <w:lang w:val="en-GB"/>
              </w:rPr>
              <w:t>Comi G, Filippi M, Wolinsky JS. European/Canadian multicenter, double-blind, randomized, placebo-controlled study of the effects of glatiramer acetate on magnetic resonance imaging--measured disease activity and burden in patients with relapsing multiple sclerosis. European/Canadian Glatiramer Acetate Study Group. Ann Neurol 2001;49(3):290-297.</w:t>
            </w:r>
          </w:p>
          <w:p w:rsidR="003C1176" w:rsidRPr="00F7606D" w:rsidRDefault="00ED54B6" w:rsidP="00302407">
            <w:pPr>
              <w:tabs>
                <w:tab w:val="clear" w:pos="510"/>
              </w:tabs>
              <w:spacing w:line="240" w:lineRule="auto"/>
              <w:contextualSpacing/>
              <w:rPr>
                <w:b/>
                <w:i/>
                <w:szCs w:val="22"/>
                <w:lang w:val="en-GB"/>
              </w:rPr>
            </w:pPr>
            <w:r w:rsidRPr="00F7606D">
              <w:rPr>
                <w:b/>
                <w:i/>
                <w:szCs w:val="22"/>
                <w:lang w:val="en-GB"/>
              </w:rPr>
              <w:t xml:space="preserve"> </w:t>
            </w:r>
          </w:p>
          <w:p w:rsidR="003C1176" w:rsidRPr="00F7606D" w:rsidRDefault="003C1176" w:rsidP="00302407">
            <w:pPr>
              <w:tabs>
                <w:tab w:val="clear" w:pos="510"/>
              </w:tabs>
              <w:spacing w:line="240" w:lineRule="auto"/>
              <w:contextualSpacing/>
              <w:rPr>
                <w:b/>
                <w:i/>
                <w:szCs w:val="22"/>
                <w:lang w:val="en-GB"/>
              </w:rPr>
            </w:pPr>
            <w:r w:rsidRPr="00F7606D">
              <w:rPr>
                <w:rFonts w:eastAsiaTheme="minorHAnsi" w:cs="AGaramond-Regular"/>
                <w:szCs w:val="22"/>
                <w:lang w:val="en-GB" w:eastAsia="en-US"/>
              </w:rPr>
              <w:t>Double-blind,</w:t>
            </w:r>
            <w:r w:rsidRPr="00F7606D" w:rsidDel="00F12D02">
              <w:rPr>
                <w:rFonts w:eastAsiaTheme="minorHAnsi" w:cs="AGaramond-Regular"/>
                <w:szCs w:val="22"/>
                <w:lang w:val="en-GB" w:eastAsia="en-US"/>
              </w:rPr>
              <w:t xml:space="preserve"> </w:t>
            </w:r>
            <w:r w:rsidRPr="00F7606D">
              <w:rPr>
                <w:szCs w:val="22"/>
                <w:lang w:val="en-GB"/>
              </w:rPr>
              <w:t>in 7 countries</w:t>
            </w:r>
          </w:p>
        </w:tc>
        <w:tc>
          <w:tcPr>
            <w:tcW w:w="6663" w:type="dxa"/>
            <w:gridSpan w:val="3"/>
          </w:tcPr>
          <w:p w:rsidR="003C1176" w:rsidRPr="00B4105F" w:rsidRDefault="003C1176" w:rsidP="00302407">
            <w:pPr>
              <w:tabs>
                <w:tab w:val="clear" w:pos="510"/>
              </w:tabs>
              <w:spacing w:line="240" w:lineRule="auto"/>
              <w:contextualSpacing/>
              <w:rPr>
                <w:szCs w:val="22"/>
                <w:lang w:val="pt-PT"/>
              </w:rPr>
            </w:pPr>
            <w:r w:rsidRPr="00B4105F">
              <w:rPr>
                <w:bCs/>
                <w:szCs w:val="22"/>
                <w:lang w:val="pt-PT"/>
              </w:rPr>
              <w:t xml:space="preserve">- Glatiramer acetate 20 mg SC q.d. </w:t>
            </w:r>
            <w:r w:rsidRPr="00B4105F">
              <w:rPr>
                <w:szCs w:val="22"/>
                <w:lang w:val="pt-PT"/>
              </w:rPr>
              <w:t>(n=119)</w:t>
            </w:r>
          </w:p>
          <w:p w:rsidR="003C1176" w:rsidRPr="00F7606D" w:rsidRDefault="003C1176" w:rsidP="00302407">
            <w:pPr>
              <w:tabs>
                <w:tab w:val="clear" w:pos="510"/>
              </w:tabs>
              <w:spacing w:line="240" w:lineRule="auto"/>
              <w:contextualSpacing/>
              <w:rPr>
                <w:bCs/>
                <w:szCs w:val="22"/>
                <w:lang w:val="en-GB"/>
              </w:rPr>
            </w:pPr>
            <w:r w:rsidRPr="00F7606D">
              <w:rPr>
                <w:bCs/>
                <w:szCs w:val="22"/>
                <w:lang w:val="en-GB"/>
              </w:rPr>
              <w:t xml:space="preserve">- Placebo </w:t>
            </w:r>
            <w:r w:rsidRPr="00F7606D">
              <w:rPr>
                <w:szCs w:val="22"/>
                <w:lang w:val="en-GB"/>
              </w:rPr>
              <w:t>(n=120)</w:t>
            </w:r>
          </w:p>
        </w:tc>
        <w:tc>
          <w:tcPr>
            <w:tcW w:w="1559" w:type="dxa"/>
          </w:tcPr>
          <w:p w:rsidR="003C1176" w:rsidRPr="00F7606D" w:rsidRDefault="003C1176" w:rsidP="00302407">
            <w:pPr>
              <w:tabs>
                <w:tab w:val="clear" w:pos="510"/>
              </w:tabs>
              <w:spacing w:line="240" w:lineRule="auto"/>
              <w:contextualSpacing/>
              <w:rPr>
                <w:rFonts w:eastAsiaTheme="minorHAnsi"/>
                <w:szCs w:val="22"/>
                <w:lang w:val="en-GB" w:eastAsia="en-US"/>
              </w:rPr>
            </w:pPr>
            <w:r w:rsidRPr="00F7606D">
              <w:rPr>
                <w:szCs w:val="22"/>
                <w:lang w:val="en-GB"/>
              </w:rPr>
              <w:t>Unclear</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rFonts w:eastAsiaTheme="minorHAnsi"/>
                <w:szCs w:val="22"/>
                <w:lang w:val="en-GB" w:eastAsia="en-US"/>
              </w:rPr>
              <w:t>9 months</w:t>
            </w:r>
          </w:p>
        </w:tc>
      </w:tr>
      <w:tr w:rsidR="003C1176" w:rsidRPr="00F7606D" w:rsidTr="0075275D">
        <w:trPr>
          <w:trHeight w:val="36"/>
        </w:trPr>
        <w:tc>
          <w:tcPr>
            <w:tcW w:w="3964" w:type="dxa"/>
          </w:tcPr>
          <w:p w:rsidR="00ED54B6" w:rsidRDefault="003C1176" w:rsidP="00302407">
            <w:pPr>
              <w:tabs>
                <w:tab w:val="clear" w:pos="510"/>
              </w:tabs>
              <w:spacing w:line="240" w:lineRule="auto"/>
              <w:contextualSpacing/>
              <w:rPr>
                <w:b/>
                <w:i/>
                <w:szCs w:val="22"/>
                <w:lang w:val="en-GB"/>
              </w:rPr>
            </w:pPr>
            <w:r w:rsidRPr="00F7606D">
              <w:rPr>
                <w:b/>
                <w:i/>
                <w:szCs w:val="22"/>
                <w:lang w:val="en-GB"/>
              </w:rPr>
              <w:t>REGARD (2008)</w:t>
            </w:r>
          </w:p>
          <w:p w:rsidR="00ED54B6" w:rsidRDefault="00ED54B6" w:rsidP="00302407">
            <w:pPr>
              <w:tabs>
                <w:tab w:val="clear" w:pos="510"/>
              </w:tabs>
              <w:spacing w:line="240" w:lineRule="auto"/>
              <w:contextualSpacing/>
              <w:rPr>
                <w:b/>
                <w:i/>
                <w:szCs w:val="22"/>
                <w:lang w:val="en-GB"/>
              </w:rPr>
            </w:pPr>
            <w:r w:rsidRPr="00B61623">
              <w:rPr>
                <w:color w:val="000000" w:themeColor="text1"/>
                <w:lang w:val="en-US"/>
              </w:rPr>
              <w:t>Mikol DD, Barkhof F, Chang P, Coyle PK, Jeffery DR, Schwid SR, et al. Comparison of subcutaneous interferon beta-1a with glatiramer acetate in patients with relapsing multiple sclerosis (the REbif vs Glatiramer Acetate in Relapsing MS Disease [REGARD] study): a multicentre, randomised, parallel, open-label trial. Lancet Neurol 2008;7(10):903-914.</w:t>
            </w:r>
          </w:p>
          <w:p w:rsidR="003C1176" w:rsidRPr="00F7606D" w:rsidRDefault="00ED54B6" w:rsidP="00302407">
            <w:pPr>
              <w:tabs>
                <w:tab w:val="clear" w:pos="510"/>
              </w:tabs>
              <w:spacing w:line="240" w:lineRule="auto"/>
              <w:contextualSpacing/>
              <w:rPr>
                <w:b/>
                <w:i/>
                <w:szCs w:val="22"/>
                <w:lang w:val="en-GB"/>
              </w:rPr>
            </w:pPr>
            <w:r w:rsidRPr="00F7606D">
              <w:rPr>
                <w:b/>
                <w:i/>
                <w:szCs w:val="22"/>
                <w:lang w:val="en-GB"/>
              </w:rPr>
              <w:t xml:space="preserve"> </w:t>
            </w:r>
          </w:p>
          <w:p w:rsidR="003C1176" w:rsidRPr="00F7606D" w:rsidRDefault="003C1176" w:rsidP="00302407">
            <w:pPr>
              <w:tabs>
                <w:tab w:val="clear" w:pos="510"/>
              </w:tabs>
              <w:spacing w:line="240" w:lineRule="auto"/>
              <w:contextualSpacing/>
              <w:rPr>
                <w:b/>
                <w:i/>
                <w:szCs w:val="22"/>
                <w:lang w:val="en-GB"/>
              </w:rPr>
            </w:pPr>
            <w:r w:rsidRPr="00F7606D">
              <w:rPr>
                <w:szCs w:val="22"/>
                <w:lang w:val="en-GB"/>
              </w:rPr>
              <w:t>Open-label, rater-masked. 81 centres in 14 countries including Canada, South America, and Europe</w:t>
            </w:r>
          </w:p>
        </w:tc>
        <w:tc>
          <w:tcPr>
            <w:tcW w:w="6663" w:type="dxa"/>
            <w:gridSpan w:val="3"/>
          </w:tcPr>
          <w:p w:rsidR="003C1176" w:rsidRPr="00B4105F" w:rsidRDefault="003C1176" w:rsidP="00302407">
            <w:pPr>
              <w:tabs>
                <w:tab w:val="clear" w:pos="510"/>
              </w:tabs>
              <w:spacing w:line="240" w:lineRule="auto"/>
              <w:contextualSpacing/>
              <w:rPr>
                <w:bCs/>
                <w:szCs w:val="22"/>
                <w:lang w:val="pt-PT"/>
              </w:rPr>
            </w:pPr>
            <w:r w:rsidRPr="00B4105F">
              <w:rPr>
                <w:bCs/>
                <w:szCs w:val="22"/>
                <w:lang w:val="pt-PT"/>
              </w:rPr>
              <w:t>- Glatiramer acetate 20 mg SC q.d. (n=378)</w:t>
            </w:r>
          </w:p>
          <w:p w:rsidR="003C1176" w:rsidRPr="00B4105F" w:rsidRDefault="003C1176" w:rsidP="00302407">
            <w:pPr>
              <w:tabs>
                <w:tab w:val="clear" w:pos="510"/>
              </w:tabs>
              <w:spacing w:line="240" w:lineRule="auto"/>
              <w:contextualSpacing/>
              <w:rPr>
                <w:bCs/>
                <w:szCs w:val="22"/>
                <w:lang w:val="pt-PT"/>
              </w:rPr>
            </w:pPr>
            <w:r w:rsidRPr="00B4105F">
              <w:rPr>
                <w:bCs/>
                <w:szCs w:val="22"/>
                <w:lang w:val="pt-PT"/>
              </w:rPr>
              <w:t>- Interferon beta-1a 44 mcg SC t.i.w. (n=386)</w:t>
            </w:r>
          </w:p>
        </w:tc>
        <w:tc>
          <w:tcPr>
            <w:tcW w:w="1559"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Treatment-naive</w:t>
            </w:r>
          </w:p>
        </w:tc>
        <w:tc>
          <w:tcPr>
            <w:tcW w:w="1417" w:type="dxa"/>
          </w:tcPr>
          <w:p w:rsidR="003C1176" w:rsidRPr="00F7606D" w:rsidRDefault="003C1176" w:rsidP="00302407">
            <w:pPr>
              <w:tabs>
                <w:tab w:val="clear" w:pos="510"/>
              </w:tabs>
              <w:spacing w:line="240" w:lineRule="auto"/>
              <w:contextualSpacing/>
              <w:rPr>
                <w:rFonts w:eastAsiaTheme="minorHAnsi"/>
                <w:szCs w:val="22"/>
                <w:lang w:val="en-GB" w:eastAsia="en-US"/>
              </w:rPr>
            </w:pPr>
            <w:r w:rsidRPr="00F7606D">
              <w:rPr>
                <w:rFonts w:eastAsiaTheme="minorHAnsi"/>
                <w:szCs w:val="22"/>
                <w:lang w:val="en-GB" w:eastAsia="en-US"/>
              </w:rPr>
              <w:t>96 weeks</w:t>
            </w:r>
          </w:p>
        </w:tc>
      </w:tr>
      <w:tr w:rsidR="003C1176" w:rsidRPr="00F7606D" w:rsidTr="0075275D">
        <w:trPr>
          <w:trHeight w:val="36"/>
        </w:trPr>
        <w:tc>
          <w:tcPr>
            <w:tcW w:w="3964" w:type="dxa"/>
          </w:tcPr>
          <w:p w:rsidR="003C1176" w:rsidRDefault="003C1176" w:rsidP="00302407">
            <w:pPr>
              <w:tabs>
                <w:tab w:val="clear" w:pos="510"/>
              </w:tabs>
              <w:spacing w:line="240" w:lineRule="auto"/>
              <w:contextualSpacing/>
              <w:rPr>
                <w:b/>
                <w:i/>
                <w:szCs w:val="22"/>
                <w:lang w:val="en-GB"/>
              </w:rPr>
            </w:pPr>
            <w:r w:rsidRPr="00F7606D">
              <w:rPr>
                <w:b/>
                <w:i/>
                <w:szCs w:val="22"/>
                <w:lang w:val="en-GB"/>
              </w:rPr>
              <w:t xml:space="preserve">BECOME (2009) </w:t>
            </w:r>
          </w:p>
          <w:p w:rsidR="00ED54B6" w:rsidRDefault="00ED54B6" w:rsidP="00302407">
            <w:pPr>
              <w:tabs>
                <w:tab w:val="clear" w:pos="510"/>
              </w:tabs>
              <w:spacing w:line="240" w:lineRule="auto"/>
              <w:contextualSpacing/>
              <w:rPr>
                <w:b/>
                <w:i/>
                <w:szCs w:val="22"/>
                <w:lang w:val="en-GB"/>
              </w:rPr>
            </w:pPr>
            <w:r w:rsidRPr="00B61623">
              <w:rPr>
                <w:color w:val="000000" w:themeColor="text1"/>
                <w:lang w:val="en-US"/>
              </w:rPr>
              <w:t>Cadavid D, Wolansky LJ, Skurnick J, Lincoln J, Cheriyan J, Szczepanowski K, et al. Efficacy of treatment of MS with IFNbeta-1b or glatiramer acetate by monthly brain MRI in the BECOME study. Neurology 2009;72(23):1976-1983.</w:t>
            </w:r>
          </w:p>
          <w:p w:rsidR="00ED54B6" w:rsidRPr="00F7606D" w:rsidRDefault="00ED54B6" w:rsidP="00302407">
            <w:pPr>
              <w:tabs>
                <w:tab w:val="clear" w:pos="510"/>
              </w:tabs>
              <w:spacing w:line="240" w:lineRule="auto"/>
              <w:contextualSpacing/>
              <w:rPr>
                <w:b/>
                <w:i/>
                <w:szCs w:val="22"/>
                <w:lang w:val="en-GB"/>
              </w:rPr>
            </w:pPr>
          </w:p>
          <w:p w:rsidR="003C1176" w:rsidRPr="00F7606D" w:rsidRDefault="003C1176" w:rsidP="00302407">
            <w:pPr>
              <w:tabs>
                <w:tab w:val="clear" w:pos="510"/>
              </w:tabs>
              <w:spacing w:line="240" w:lineRule="auto"/>
              <w:contextualSpacing/>
              <w:rPr>
                <w:b/>
                <w:i/>
                <w:szCs w:val="22"/>
                <w:lang w:val="en-GB"/>
              </w:rPr>
            </w:pPr>
            <w:r w:rsidRPr="00F7606D">
              <w:rPr>
                <w:szCs w:val="22"/>
                <w:lang w:val="en-GB"/>
              </w:rPr>
              <w:t>Rater-blinded, in one centre in the US</w:t>
            </w:r>
          </w:p>
        </w:tc>
        <w:tc>
          <w:tcPr>
            <w:tcW w:w="6663" w:type="dxa"/>
            <w:gridSpan w:val="3"/>
          </w:tcPr>
          <w:p w:rsidR="003C1176" w:rsidRPr="00B4105F" w:rsidRDefault="003C1176" w:rsidP="00302407">
            <w:pPr>
              <w:tabs>
                <w:tab w:val="clear" w:pos="510"/>
              </w:tabs>
              <w:spacing w:line="240" w:lineRule="auto"/>
              <w:contextualSpacing/>
              <w:rPr>
                <w:szCs w:val="22"/>
                <w:lang w:val="pt-PT"/>
              </w:rPr>
            </w:pPr>
            <w:r w:rsidRPr="00B4105F">
              <w:rPr>
                <w:bCs/>
                <w:szCs w:val="22"/>
                <w:lang w:val="pt-PT"/>
              </w:rPr>
              <w:t xml:space="preserve">- Glatiramer acetate 20 mg SC q.d. </w:t>
            </w:r>
            <w:r w:rsidRPr="00B4105F">
              <w:rPr>
                <w:szCs w:val="22"/>
                <w:lang w:val="pt-PT"/>
              </w:rPr>
              <w:t>(n = 39)</w:t>
            </w:r>
          </w:p>
          <w:p w:rsidR="003C1176" w:rsidRPr="00F7606D" w:rsidRDefault="003C1176" w:rsidP="00302407">
            <w:pPr>
              <w:tabs>
                <w:tab w:val="clear" w:pos="510"/>
              </w:tabs>
              <w:spacing w:line="240" w:lineRule="auto"/>
              <w:contextualSpacing/>
              <w:rPr>
                <w:bCs/>
                <w:szCs w:val="22"/>
                <w:lang w:val="en-GB"/>
              </w:rPr>
            </w:pPr>
            <w:r w:rsidRPr="00F7606D">
              <w:rPr>
                <w:bCs/>
                <w:szCs w:val="22"/>
                <w:lang w:val="en-GB"/>
              </w:rPr>
              <w:t xml:space="preserve">- Interferon beta-1b 250 mcg SC every other day </w:t>
            </w:r>
            <w:r w:rsidRPr="00F7606D">
              <w:rPr>
                <w:szCs w:val="22"/>
                <w:lang w:val="en-GB"/>
              </w:rPr>
              <w:t>(n = 36)</w:t>
            </w:r>
          </w:p>
        </w:tc>
        <w:tc>
          <w:tcPr>
            <w:tcW w:w="1559"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Treatment-naive</w:t>
            </w:r>
          </w:p>
        </w:tc>
        <w:tc>
          <w:tcPr>
            <w:tcW w:w="1417" w:type="dxa"/>
          </w:tcPr>
          <w:p w:rsidR="003C1176" w:rsidRPr="00F7606D" w:rsidRDefault="003C1176" w:rsidP="00302407">
            <w:pPr>
              <w:tabs>
                <w:tab w:val="clear" w:pos="510"/>
              </w:tabs>
              <w:spacing w:line="240" w:lineRule="auto"/>
              <w:contextualSpacing/>
              <w:rPr>
                <w:rFonts w:eastAsiaTheme="minorHAnsi"/>
                <w:szCs w:val="22"/>
                <w:lang w:val="en-GB" w:eastAsia="en-US"/>
              </w:rPr>
            </w:pPr>
            <w:r w:rsidRPr="00F7606D">
              <w:rPr>
                <w:szCs w:val="22"/>
                <w:lang w:val="en-GB"/>
              </w:rPr>
              <w:t>2 years</w:t>
            </w:r>
          </w:p>
        </w:tc>
      </w:tr>
      <w:tr w:rsidR="003C1176" w:rsidRPr="00F7606D" w:rsidTr="0075275D">
        <w:trPr>
          <w:trHeight w:val="36"/>
        </w:trPr>
        <w:tc>
          <w:tcPr>
            <w:tcW w:w="3964" w:type="dxa"/>
          </w:tcPr>
          <w:p w:rsidR="00ED54B6" w:rsidRPr="00ED54B6" w:rsidRDefault="003C1176" w:rsidP="00302407">
            <w:pPr>
              <w:tabs>
                <w:tab w:val="clear" w:pos="510"/>
              </w:tabs>
              <w:spacing w:line="240" w:lineRule="auto"/>
              <w:contextualSpacing/>
              <w:rPr>
                <w:b/>
                <w:i/>
                <w:lang w:val="en-GB"/>
              </w:rPr>
            </w:pPr>
            <w:r w:rsidRPr="00F7606D">
              <w:rPr>
                <w:b/>
                <w:i/>
                <w:szCs w:val="22"/>
                <w:lang w:val="en-GB"/>
              </w:rPr>
              <w:t>BEYOND (2009)</w:t>
            </w:r>
            <w:r w:rsidR="00ED54B6" w:rsidRPr="00ED54B6">
              <w:rPr>
                <w:b/>
                <w:i/>
                <w:lang w:val="en-GB"/>
              </w:rPr>
              <w:t xml:space="preserve"> </w:t>
            </w:r>
          </w:p>
          <w:p w:rsidR="00ED54B6" w:rsidRDefault="00ED54B6" w:rsidP="00302407">
            <w:pPr>
              <w:tabs>
                <w:tab w:val="clear" w:pos="510"/>
              </w:tabs>
              <w:spacing w:line="240" w:lineRule="auto"/>
              <w:contextualSpacing/>
              <w:rPr>
                <w:b/>
                <w:i/>
              </w:rPr>
            </w:pPr>
            <w:r w:rsidRPr="00B61623">
              <w:rPr>
                <w:color w:val="000000" w:themeColor="text1"/>
                <w:lang w:val="en-US"/>
              </w:rPr>
              <w:t>O'Connor P, Filippi M, Arnason B, Comi G, Cook S, Goodin D, et al. 250 microg or 500 microg interferon beta-1b versus 20 mg glatiramer acetate in relapsing-remitting multiple sclerosis: a prospective, randomised, multicentre study. Lancet Neurol 2009;8(10):889-897.</w:t>
            </w:r>
          </w:p>
          <w:p w:rsidR="003C1176" w:rsidRPr="00F7606D" w:rsidRDefault="00ED54B6" w:rsidP="00302407">
            <w:pPr>
              <w:tabs>
                <w:tab w:val="clear" w:pos="510"/>
              </w:tabs>
              <w:spacing w:line="240" w:lineRule="auto"/>
              <w:contextualSpacing/>
              <w:rPr>
                <w:b/>
                <w:i/>
                <w:szCs w:val="22"/>
                <w:lang w:val="en-GB"/>
              </w:rPr>
            </w:pPr>
            <w:r w:rsidRPr="00F7606D">
              <w:rPr>
                <w:b/>
                <w:i/>
                <w:szCs w:val="22"/>
                <w:lang w:val="en-GB"/>
              </w:rPr>
              <w:t xml:space="preserve"> </w:t>
            </w:r>
          </w:p>
          <w:p w:rsidR="003C1176" w:rsidRPr="00F7606D" w:rsidRDefault="003C1176" w:rsidP="00302407">
            <w:pPr>
              <w:tabs>
                <w:tab w:val="clear" w:pos="510"/>
              </w:tabs>
              <w:spacing w:line="240" w:lineRule="auto"/>
              <w:contextualSpacing/>
              <w:rPr>
                <w:szCs w:val="22"/>
                <w:lang w:val="en-GB"/>
              </w:rPr>
            </w:pPr>
            <w:r w:rsidRPr="00F7606D">
              <w:rPr>
                <w:szCs w:val="22"/>
                <w:lang w:val="en-GB"/>
              </w:rPr>
              <w:t xml:space="preserve">A </w:t>
            </w:r>
            <w:r w:rsidRPr="00F7606D">
              <w:rPr>
                <w:rFonts w:eastAsiaTheme="minorHAnsi"/>
                <w:szCs w:val="22"/>
                <w:lang w:val="en-GB" w:eastAsia="en-US"/>
              </w:rPr>
              <w:t xml:space="preserve">rater-blinded,  </w:t>
            </w:r>
            <w:r w:rsidRPr="00F7606D">
              <w:rPr>
                <w:szCs w:val="22"/>
                <w:lang w:val="en-GB"/>
              </w:rPr>
              <w:t xml:space="preserve">in </w:t>
            </w:r>
            <w:r w:rsidRPr="00F7606D">
              <w:rPr>
                <w:rFonts w:eastAsiaTheme="minorHAnsi"/>
                <w:szCs w:val="22"/>
                <w:lang w:val="en-GB" w:eastAsia="en-US"/>
              </w:rPr>
              <w:t>198 centres in 26 countries worldwide.</w:t>
            </w:r>
          </w:p>
        </w:tc>
        <w:tc>
          <w:tcPr>
            <w:tcW w:w="6663" w:type="dxa"/>
            <w:gridSpan w:val="3"/>
          </w:tcPr>
          <w:p w:rsidR="003C1176" w:rsidRPr="00B4105F" w:rsidRDefault="003C1176" w:rsidP="00302407">
            <w:pPr>
              <w:tabs>
                <w:tab w:val="clear" w:pos="510"/>
              </w:tabs>
              <w:spacing w:line="240" w:lineRule="auto"/>
              <w:contextualSpacing/>
              <w:rPr>
                <w:szCs w:val="22"/>
                <w:lang w:val="pt-PT"/>
              </w:rPr>
            </w:pPr>
            <w:r w:rsidRPr="00B4105F">
              <w:rPr>
                <w:bCs/>
                <w:szCs w:val="22"/>
                <w:lang w:val="pt-PT"/>
              </w:rPr>
              <w:t xml:space="preserve">- Glatiramer acetate 20 mg SC q.d. </w:t>
            </w:r>
            <w:r w:rsidRPr="00B4105F">
              <w:rPr>
                <w:szCs w:val="22"/>
                <w:lang w:val="pt-PT"/>
              </w:rPr>
              <w:t>(n = 448)</w:t>
            </w:r>
          </w:p>
          <w:p w:rsidR="003C1176" w:rsidRPr="00F7606D" w:rsidRDefault="003C1176" w:rsidP="00302407">
            <w:pPr>
              <w:pStyle w:val="Default"/>
              <w:contextualSpacing/>
              <w:jc w:val="both"/>
              <w:rPr>
                <w:rFonts w:ascii="Georgia" w:hAnsi="Georgia"/>
                <w:sz w:val="22"/>
                <w:szCs w:val="22"/>
                <w:lang w:val="en-GB"/>
              </w:rPr>
            </w:pPr>
            <w:r w:rsidRPr="00F7606D">
              <w:rPr>
                <w:rFonts w:ascii="Georgia" w:hAnsi="Georgia"/>
                <w:bCs/>
                <w:sz w:val="22"/>
                <w:szCs w:val="22"/>
                <w:lang w:val="en-GB"/>
              </w:rPr>
              <w:t xml:space="preserve">- Interferon beta-1b 250 mcg SC every other day </w:t>
            </w:r>
            <w:r w:rsidRPr="00F7606D">
              <w:rPr>
                <w:rFonts w:ascii="Georgia" w:hAnsi="Georgia"/>
                <w:sz w:val="22"/>
                <w:szCs w:val="22"/>
                <w:lang w:val="en-GB"/>
              </w:rPr>
              <w:t xml:space="preserve">(n = 897) </w:t>
            </w:r>
          </w:p>
          <w:p w:rsidR="003C1176" w:rsidRPr="00F7606D" w:rsidRDefault="003C1176" w:rsidP="00302407">
            <w:pPr>
              <w:tabs>
                <w:tab w:val="clear" w:pos="510"/>
              </w:tabs>
              <w:spacing w:line="240" w:lineRule="auto"/>
              <w:contextualSpacing/>
              <w:rPr>
                <w:szCs w:val="22"/>
                <w:lang w:val="en-GB"/>
              </w:rPr>
            </w:pPr>
            <w:r w:rsidRPr="00F7606D">
              <w:rPr>
                <w:bCs/>
                <w:szCs w:val="22"/>
                <w:lang w:val="en-GB"/>
              </w:rPr>
              <w:t xml:space="preserve">- Interferon beta-1b 500 mcg SC every other day </w:t>
            </w:r>
            <w:r w:rsidRPr="00F7606D">
              <w:rPr>
                <w:szCs w:val="22"/>
                <w:lang w:val="en-GB"/>
              </w:rPr>
              <w:t>(n = 899)</w:t>
            </w:r>
          </w:p>
        </w:tc>
        <w:tc>
          <w:tcPr>
            <w:tcW w:w="1559"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Treatment-naive</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rFonts w:eastAsiaTheme="minorHAnsi"/>
                <w:szCs w:val="22"/>
                <w:lang w:val="en-GB" w:eastAsia="en-US"/>
              </w:rPr>
              <w:t>2 to 3,5 years</w:t>
            </w:r>
          </w:p>
        </w:tc>
      </w:tr>
      <w:tr w:rsidR="003C1176" w:rsidRPr="00F7606D" w:rsidTr="0075275D">
        <w:trPr>
          <w:trHeight w:val="36"/>
        </w:trPr>
        <w:tc>
          <w:tcPr>
            <w:tcW w:w="3964" w:type="dxa"/>
          </w:tcPr>
          <w:p w:rsidR="00ED54B6" w:rsidRDefault="00ED54B6" w:rsidP="00302407">
            <w:pPr>
              <w:tabs>
                <w:tab w:val="clear" w:pos="510"/>
              </w:tabs>
              <w:spacing w:line="240" w:lineRule="auto"/>
              <w:contextualSpacing/>
              <w:rPr>
                <w:b/>
                <w:i/>
                <w:szCs w:val="22"/>
                <w:lang w:val="en-GB"/>
              </w:rPr>
            </w:pPr>
            <w:r w:rsidRPr="00DA53AF">
              <w:rPr>
                <w:b/>
                <w:i/>
                <w:szCs w:val="22"/>
              </w:rPr>
              <w:t xml:space="preserve">Calabrese M, Bernardi V, Atzori M, Mattisi I, Favaretto A, Rinaldi F, et al. </w:t>
            </w:r>
            <w:r w:rsidRPr="00DA53AF">
              <w:rPr>
                <w:b/>
                <w:i/>
                <w:szCs w:val="22"/>
                <w:lang w:val="en-GB"/>
              </w:rPr>
              <w:t>Effect of disease-modifying drugs on cortical lesions and atrophy in relapsing-remitting multiple sclerosis. Mult Scler 2012;18(4):418-424.</w:t>
            </w:r>
          </w:p>
          <w:p w:rsidR="003C1176" w:rsidRPr="00F7606D" w:rsidRDefault="00ED54B6" w:rsidP="00302407">
            <w:pPr>
              <w:tabs>
                <w:tab w:val="clear" w:pos="510"/>
              </w:tabs>
              <w:spacing w:line="240" w:lineRule="auto"/>
              <w:contextualSpacing/>
              <w:rPr>
                <w:b/>
                <w:i/>
                <w:szCs w:val="22"/>
                <w:lang w:val="en-GB"/>
              </w:rPr>
            </w:pPr>
            <w:r w:rsidRPr="00F7606D">
              <w:rPr>
                <w:b/>
                <w:i/>
                <w:szCs w:val="22"/>
                <w:lang w:val="en-GB"/>
              </w:rPr>
              <w:t xml:space="preserve"> </w:t>
            </w:r>
          </w:p>
          <w:p w:rsidR="003C1176" w:rsidRPr="00F7606D" w:rsidRDefault="003C1176" w:rsidP="00302407">
            <w:pPr>
              <w:tabs>
                <w:tab w:val="clear" w:pos="510"/>
              </w:tabs>
              <w:spacing w:line="240" w:lineRule="auto"/>
              <w:contextualSpacing/>
              <w:rPr>
                <w:szCs w:val="22"/>
                <w:lang w:val="en-GB"/>
              </w:rPr>
            </w:pPr>
            <w:r w:rsidRPr="00F7606D">
              <w:rPr>
                <w:rFonts w:eastAsiaTheme="minorHAnsi"/>
                <w:szCs w:val="22"/>
                <w:lang w:val="en-GB" w:eastAsia="en-US"/>
              </w:rPr>
              <w:t>Rater-blinded, single-centre in Italy</w:t>
            </w:r>
          </w:p>
        </w:tc>
        <w:tc>
          <w:tcPr>
            <w:tcW w:w="6663" w:type="dxa"/>
            <w:gridSpan w:val="3"/>
          </w:tcPr>
          <w:p w:rsidR="003C1176" w:rsidRPr="00B4105F" w:rsidRDefault="003C1176" w:rsidP="00302407">
            <w:pPr>
              <w:tabs>
                <w:tab w:val="clear" w:pos="510"/>
              </w:tabs>
              <w:spacing w:line="240" w:lineRule="auto"/>
              <w:contextualSpacing/>
              <w:rPr>
                <w:rFonts w:eastAsiaTheme="minorHAnsi"/>
                <w:szCs w:val="22"/>
                <w:lang w:val="pt-PT" w:eastAsia="en-US"/>
              </w:rPr>
            </w:pPr>
            <w:r w:rsidRPr="00B4105F">
              <w:rPr>
                <w:rFonts w:eastAsiaTheme="minorHAnsi"/>
                <w:szCs w:val="22"/>
                <w:lang w:val="pt-PT" w:eastAsia="en-US"/>
              </w:rPr>
              <w:t>- Glatiramer acetate 20 mg SC q.d. (n = 55)</w:t>
            </w:r>
          </w:p>
          <w:p w:rsidR="003C1176" w:rsidRPr="00B4105F" w:rsidRDefault="003C1176" w:rsidP="00302407">
            <w:pPr>
              <w:tabs>
                <w:tab w:val="clear" w:pos="510"/>
              </w:tabs>
              <w:autoSpaceDE w:val="0"/>
              <w:autoSpaceDN w:val="0"/>
              <w:adjustRightInd w:val="0"/>
              <w:spacing w:line="240" w:lineRule="auto"/>
              <w:contextualSpacing/>
              <w:jc w:val="both"/>
              <w:rPr>
                <w:rFonts w:eastAsiaTheme="minorHAnsi"/>
                <w:szCs w:val="22"/>
                <w:lang w:val="pt-PT" w:eastAsia="en-US"/>
              </w:rPr>
            </w:pPr>
            <w:r w:rsidRPr="00B4105F">
              <w:rPr>
                <w:rFonts w:eastAsiaTheme="minorHAnsi"/>
                <w:szCs w:val="22"/>
                <w:lang w:val="pt-PT" w:eastAsia="en-US"/>
              </w:rPr>
              <w:t xml:space="preserve">- Interferon beta-1a 44 mcg SC t.i.w. (n = 55) </w:t>
            </w:r>
          </w:p>
          <w:p w:rsidR="003C1176" w:rsidRPr="00B4105F" w:rsidRDefault="003C1176" w:rsidP="00302407">
            <w:pPr>
              <w:tabs>
                <w:tab w:val="clear" w:pos="510"/>
              </w:tabs>
              <w:spacing w:line="240" w:lineRule="auto"/>
              <w:contextualSpacing/>
              <w:rPr>
                <w:szCs w:val="22"/>
                <w:lang w:val="pt-PT"/>
              </w:rPr>
            </w:pPr>
            <w:r w:rsidRPr="00B4105F">
              <w:rPr>
                <w:rFonts w:eastAsiaTheme="minorHAnsi"/>
                <w:szCs w:val="22"/>
                <w:lang w:val="pt-PT" w:eastAsia="en-US"/>
              </w:rPr>
              <w:t>- Interferon beta-1a 30 mcg IM q.w. (n = 55)</w:t>
            </w:r>
          </w:p>
        </w:tc>
        <w:tc>
          <w:tcPr>
            <w:tcW w:w="1559"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Unclear</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2 years</w:t>
            </w:r>
          </w:p>
        </w:tc>
      </w:tr>
      <w:tr w:rsidR="003C1176" w:rsidRPr="00F7606D" w:rsidTr="0075275D">
        <w:trPr>
          <w:trHeight w:val="36"/>
        </w:trPr>
        <w:tc>
          <w:tcPr>
            <w:tcW w:w="3964" w:type="dxa"/>
          </w:tcPr>
          <w:p w:rsidR="00ED54B6" w:rsidRDefault="003C1176" w:rsidP="00302407">
            <w:pPr>
              <w:tabs>
                <w:tab w:val="clear" w:pos="510"/>
              </w:tabs>
              <w:spacing w:line="240" w:lineRule="auto"/>
              <w:contextualSpacing/>
              <w:rPr>
                <w:b/>
                <w:i/>
                <w:szCs w:val="22"/>
                <w:lang w:val="en-GB"/>
              </w:rPr>
            </w:pPr>
            <w:r w:rsidRPr="00F7606D">
              <w:rPr>
                <w:b/>
                <w:i/>
                <w:szCs w:val="22"/>
                <w:lang w:val="en-GB"/>
              </w:rPr>
              <w:t>GALA (2013)</w:t>
            </w:r>
          </w:p>
          <w:p w:rsidR="00ED54B6" w:rsidRDefault="00ED54B6" w:rsidP="00302407">
            <w:pPr>
              <w:tabs>
                <w:tab w:val="clear" w:pos="510"/>
              </w:tabs>
              <w:spacing w:line="240" w:lineRule="auto"/>
              <w:contextualSpacing/>
              <w:rPr>
                <w:b/>
                <w:i/>
                <w:szCs w:val="22"/>
                <w:lang w:val="en-GB"/>
              </w:rPr>
            </w:pPr>
            <w:r w:rsidRPr="00B61623">
              <w:rPr>
                <w:color w:val="000000" w:themeColor="text1"/>
                <w:lang w:val="en-US"/>
              </w:rPr>
              <w:t>Khan O, Rieckmann P, Boyko A, Selmaj K, Zivadinov R. Three times weekly glatiramer acetate in relapsing-remitting multiple sclerosis. Ann Neurol 2013;73(6):705-713.</w:t>
            </w:r>
          </w:p>
          <w:p w:rsidR="003C1176" w:rsidRPr="00F7606D" w:rsidRDefault="003C1176" w:rsidP="00302407">
            <w:pPr>
              <w:tabs>
                <w:tab w:val="clear" w:pos="510"/>
              </w:tabs>
              <w:spacing w:line="240" w:lineRule="auto"/>
              <w:contextualSpacing/>
              <w:rPr>
                <w:b/>
                <w:i/>
                <w:szCs w:val="22"/>
                <w:lang w:val="en-GB"/>
              </w:rPr>
            </w:pPr>
            <w:r w:rsidRPr="00F7606D">
              <w:rPr>
                <w:b/>
                <w:i/>
                <w:szCs w:val="22"/>
                <w:lang w:val="en-GB"/>
              </w:rPr>
              <w:t xml:space="preserve"> </w:t>
            </w:r>
          </w:p>
          <w:p w:rsidR="003C1176" w:rsidRPr="00F7606D" w:rsidRDefault="003C1176" w:rsidP="00302407">
            <w:pPr>
              <w:tabs>
                <w:tab w:val="clear" w:pos="510"/>
              </w:tabs>
              <w:spacing w:line="240" w:lineRule="auto"/>
              <w:contextualSpacing/>
              <w:rPr>
                <w:szCs w:val="22"/>
                <w:lang w:val="en-GB"/>
              </w:rPr>
            </w:pPr>
            <w:r w:rsidRPr="00F7606D">
              <w:rPr>
                <w:rFonts w:eastAsiaTheme="minorHAnsi" w:cs="AdvAVENIR-R"/>
                <w:color w:val="231F20"/>
                <w:szCs w:val="22"/>
                <w:lang w:val="en-GB" w:eastAsia="en-US"/>
              </w:rPr>
              <w:t xml:space="preserve">Double-blind study, in </w:t>
            </w:r>
            <w:r w:rsidRPr="00F7606D">
              <w:rPr>
                <w:rFonts w:eastAsiaTheme="minorHAnsi" w:cs="AdvAGaramond-R"/>
                <w:color w:val="231F20"/>
                <w:szCs w:val="22"/>
                <w:lang w:val="en-GB" w:eastAsia="en-US"/>
              </w:rPr>
              <w:t>142 sites in 17 countries</w:t>
            </w:r>
          </w:p>
        </w:tc>
        <w:tc>
          <w:tcPr>
            <w:tcW w:w="6663" w:type="dxa"/>
            <w:gridSpan w:val="3"/>
          </w:tcPr>
          <w:p w:rsidR="003C1176" w:rsidRPr="00B4105F" w:rsidRDefault="003C1176" w:rsidP="00302407">
            <w:pPr>
              <w:tabs>
                <w:tab w:val="clear" w:pos="510"/>
              </w:tabs>
              <w:spacing w:line="240" w:lineRule="auto"/>
              <w:contextualSpacing/>
              <w:rPr>
                <w:rFonts w:eastAsiaTheme="minorHAnsi" w:cs="AdvAVENIR-R"/>
                <w:color w:val="231F20"/>
                <w:szCs w:val="22"/>
                <w:lang w:val="pt-PT" w:eastAsia="en-US"/>
              </w:rPr>
            </w:pPr>
            <w:r w:rsidRPr="00B4105F">
              <w:rPr>
                <w:rFonts w:eastAsiaTheme="minorHAnsi" w:cs="AdvAVENIR-R"/>
                <w:color w:val="231F20"/>
                <w:szCs w:val="22"/>
                <w:lang w:val="pt-PT" w:eastAsia="en-US"/>
              </w:rPr>
              <w:t>- Glatiramer acetate sc 40mg (1ml) tiw (n=943)</w:t>
            </w:r>
          </w:p>
          <w:p w:rsidR="003C1176" w:rsidRPr="00F7606D" w:rsidRDefault="003C1176" w:rsidP="00302407">
            <w:pPr>
              <w:tabs>
                <w:tab w:val="clear" w:pos="510"/>
              </w:tabs>
              <w:spacing w:line="240" w:lineRule="auto"/>
              <w:contextualSpacing/>
              <w:rPr>
                <w:szCs w:val="22"/>
                <w:lang w:val="en-GB"/>
              </w:rPr>
            </w:pPr>
            <w:r w:rsidRPr="00F7606D">
              <w:rPr>
                <w:rFonts w:eastAsiaTheme="minorHAnsi" w:cs="AdvAVENIR-R"/>
                <w:color w:val="231F20"/>
                <w:szCs w:val="22"/>
                <w:lang w:val="en-GB" w:eastAsia="en-US"/>
              </w:rPr>
              <w:t>- Placebo (n=461)</w:t>
            </w:r>
          </w:p>
        </w:tc>
        <w:tc>
          <w:tcPr>
            <w:tcW w:w="1559"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Mixed</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1 year</w:t>
            </w:r>
          </w:p>
        </w:tc>
      </w:tr>
      <w:tr w:rsidR="003C1176" w:rsidRPr="00F7606D" w:rsidTr="0075275D">
        <w:trPr>
          <w:trHeight w:val="36"/>
        </w:trPr>
        <w:tc>
          <w:tcPr>
            <w:tcW w:w="3964" w:type="dxa"/>
          </w:tcPr>
          <w:p w:rsidR="003C1176" w:rsidRDefault="003C1176" w:rsidP="00302407">
            <w:pPr>
              <w:tabs>
                <w:tab w:val="clear" w:pos="510"/>
              </w:tabs>
              <w:spacing w:line="240" w:lineRule="auto"/>
              <w:contextualSpacing/>
              <w:rPr>
                <w:b/>
                <w:i/>
                <w:szCs w:val="22"/>
                <w:lang w:val="en-GB"/>
              </w:rPr>
            </w:pPr>
            <w:r w:rsidRPr="00F7606D">
              <w:rPr>
                <w:b/>
                <w:i/>
                <w:szCs w:val="22"/>
                <w:lang w:val="en-GB"/>
              </w:rPr>
              <w:t xml:space="preserve">CombiRx (2013) </w:t>
            </w:r>
          </w:p>
          <w:p w:rsidR="00ED54B6" w:rsidRDefault="00ED54B6" w:rsidP="00302407">
            <w:pPr>
              <w:tabs>
                <w:tab w:val="clear" w:pos="510"/>
              </w:tabs>
              <w:spacing w:line="240" w:lineRule="auto"/>
              <w:contextualSpacing/>
              <w:rPr>
                <w:b/>
                <w:i/>
                <w:szCs w:val="22"/>
                <w:lang w:val="en-GB"/>
              </w:rPr>
            </w:pPr>
            <w:r w:rsidRPr="00B61623">
              <w:rPr>
                <w:color w:val="000000" w:themeColor="text1"/>
                <w:lang w:val="en-US"/>
              </w:rPr>
              <w:t>Lublin FD, Cofield SS, Cutter GR, Conwit R, Narayana PA, Nelson F, et al. Randomized study combining interferon and glatiramer acetate in multiple sclerosis. Ann Neurol 2013;73(3):327-340.</w:t>
            </w:r>
          </w:p>
          <w:p w:rsidR="00ED54B6" w:rsidRPr="00F7606D" w:rsidRDefault="00ED54B6" w:rsidP="00302407">
            <w:pPr>
              <w:tabs>
                <w:tab w:val="clear" w:pos="510"/>
              </w:tabs>
              <w:spacing w:line="240" w:lineRule="auto"/>
              <w:contextualSpacing/>
              <w:rPr>
                <w:b/>
                <w:i/>
                <w:szCs w:val="22"/>
                <w:lang w:val="en-GB"/>
              </w:rPr>
            </w:pPr>
          </w:p>
          <w:p w:rsidR="003C1176" w:rsidRPr="00F7606D" w:rsidRDefault="003C1176" w:rsidP="00302407">
            <w:pPr>
              <w:tabs>
                <w:tab w:val="clear" w:pos="510"/>
              </w:tabs>
              <w:spacing w:line="240" w:lineRule="auto"/>
              <w:contextualSpacing/>
              <w:rPr>
                <w:szCs w:val="22"/>
                <w:lang w:val="en-GB"/>
              </w:rPr>
            </w:pPr>
            <w:r w:rsidRPr="00F7606D">
              <w:rPr>
                <w:rFonts w:eastAsiaTheme="minorHAnsi" w:cs="AdvAVENIR-R"/>
                <w:color w:val="231F20"/>
                <w:szCs w:val="22"/>
                <w:lang w:val="en-GB" w:eastAsia="en-US"/>
              </w:rPr>
              <w:t xml:space="preserve">Double-blind, in </w:t>
            </w:r>
            <w:r w:rsidRPr="00F7606D">
              <w:rPr>
                <w:rFonts w:eastAsiaTheme="minorHAnsi" w:cs="AdvAGaramond-R"/>
                <w:color w:val="231F20"/>
                <w:szCs w:val="22"/>
                <w:lang w:val="en-GB" w:eastAsia="en-US"/>
              </w:rPr>
              <w:t>68 sites, both private practice and academic, in the USA and Canada</w:t>
            </w:r>
          </w:p>
        </w:tc>
        <w:tc>
          <w:tcPr>
            <w:tcW w:w="6663" w:type="dxa"/>
            <w:gridSpan w:val="3"/>
          </w:tcPr>
          <w:p w:rsidR="003C1176" w:rsidRPr="00F7606D" w:rsidRDefault="003C1176" w:rsidP="00302407">
            <w:pPr>
              <w:tabs>
                <w:tab w:val="clear" w:pos="510"/>
              </w:tabs>
              <w:autoSpaceDE w:val="0"/>
              <w:autoSpaceDN w:val="0"/>
              <w:adjustRightInd w:val="0"/>
              <w:spacing w:line="240" w:lineRule="auto"/>
              <w:contextualSpacing/>
              <w:jc w:val="both"/>
              <w:rPr>
                <w:rFonts w:eastAsiaTheme="minorHAnsi" w:cs="AdvAGaramond-R"/>
                <w:color w:val="231F20"/>
                <w:szCs w:val="22"/>
                <w:lang w:val="en-GB" w:eastAsia="en-US"/>
              </w:rPr>
            </w:pPr>
            <w:r w:rsidRPr="00F7606D">
              <w:rPr>
                <w:rFonts w:cs="Arial"/>
                <w:color w:val="000000"/>
                <w:szCs w:val="22"/>
                <w:lang w:val="en-GB"/>
              </w:rPr>
              <w:t>- Interferon beta-1a 30µg IM q.d and glatiramer acetate (GA) 20mg q.d</w:t>
            </w:r>
            <w:r w:rsidRPr="00F7606D">
              <w:rPr>
                <w:rFonts w:eastAsiaTheme="minorHAnsi" w:cs="AdvAGaramond-R"/>
                <w:color w:val="231F20"/>
                <w:szCs w:val="22"/>
                <w:lang w:val="en-GB" w:eastAsia="en-US"/>
              </w:rPr>
              <w:t xml:space="preserve"> (n=499) (not considered))</w:t>
            </w:r>
          </w:p>
          <w:p w:rsidR="003C1176" w:rsidRPr="00B4105F" w:rsidRDefault="003C1176" w:rsidP="00302407">
            <w:pPr>
              <w:tabs>
                <w:tab w:val="clear" w:pos="510"/>
              </w:tabs>
              <w:autoSpaceDE w:val="0"/>
              <w:autoSpaceDN w:val="0"/>
              <w:adjustRightInd w:val="0"/>
              <w:spacing w:line="240" w:lineRule="auto"/>
              <w:contextualSpacing/>
              <w:jc w:val="both"/>
              <w:rPr>
                <w:rFonts w:eastAsiaTheme="minorHAnsi" w:cs="AdvAGaramond-R"/>
                <w:color w:val="231F20"/>
                <w:szCs w:val="22"/>
                <w:lang w:val="pt-PT" w:eastAsia="en-US"/>
              </w:rPr>
            </w:pPr>
            <w:r w:rsidRPr="00B4105F">
              <w:rPr>
                <w:rFonts w:eastAsiaTheme="minorHAnsi" w:cs="AdvP641C"/>
                <w:szCs w:val="22"/>
                <w:lang w:val="pt-PT" w:eastAsia="en-US"/>
              </w:rPr>
              <w:t>- G</w:t>
            </w:r>
            <w:r w:rsidRPr="00B4105F">
              <w:rPr>
                <w:rFonts w:cs="Arial"/>
                <w:color w:val="000000"/>
                <w:szCs w:val="22"/>
                <w:lang w:val="pt-PT"/>
              </w:rPr>
              <w:t>latiramer acetate 20mg q.d</w:t>
            </w:r>
            <w:r w:rsidRPr="00B4105F">
              <w:rPr>
                <w:rFonts w:eastAsiaTheme="minorHAnsi" w:cs="AdvAGaramond-R"/>
                <w:color w:val="231F20"/>
                <w:szCs w:val="22"/>
                <w:lang w:val="pt-PT" w:eastAsia="en-US"/>
              </w:rPr>
              <w:t xml:space="preserve"> (n=259)</w:t>
            </w:r>
          </w:p>
          <w:p w:rsidR="003C1176" w:rsidRPr="00B4105F" w:rsidRDefault="003C1176" w:rsidP="00302407">
            <w:pPr>
              <w:tabs>
                <w:tab w:val="clear" w:pos="510"/>
              </w:tabs>
              <w:spacing w:line="240" w:lineRule="auto"/>
              <w:contextualSpacing/>
              <w:rPr>
                <w:rFonts w:eastAsiaTheme="minorHAnsi" w:cs="AdvAGaramond-R"/>
                <w:color w:val="231F20"/>
                <w:szCs w:val="22"/>
                <w:lang w:val="pt-PT" w:eastAsia="en-US"/>
              </w:rPr>
            </w:pPr>
            <w:r w:rsidRPr="00B4105F">
              <w:rPr>
                <w:rFonts w:eastAsiaTheme="minorHAnsi" w:cs="AdvAGaramond-R"/>
                <w:color w:val="231F20"/>
                <w:szCs w:val="22"/>
                <w:lang w:val="pt-PT" w:eastAsia="en-US"/>
              </w:rPr>
              <w:t>- I</w:t>
            </w:r>
            <w:r w:rsidRPr="00B4105F">
              <w:rPr>
                <w:rFonts w:cs="Arial"/>
                <w:color w:val="000000"/>
                <w:szCs w:val="22"/>
                <w:lang w:val="pt-PT"/>
              </w:rPr>
              <w:t xml:space="preserve">nterferon beta-1a 30µg IM q.w </w:t>
            </w:r>
            <w:r w:rsidRPr="00B4105F">
              <w:rPr>
                <w:rFonts w:eastAsiaTheme="minorHAnsi" w:cs="AdvAGaramond-R"/>
                <w:color w:val="231F20"/>
                <w:szCs w:val="22"/>
                <w:lang w:val="pt-PT" w:eastAsia="en-US"/>
              </w:rPr>
              <w:t>(n=250)</w:t>
            </w:r>
          </w:p>
          <w:p w:rsidR="003C1176" w:rsidRPr="00F7606D" w:rsidRDefault="003C1176" w:rsidP="00302407">
            <w:pPr>
              <w:tabs>
                <w:tab w:val="clear" w:pos="510"/>
              </w:tabs>
              <w:spacing w:line="240" w:lineRule="auto"/>
              <w:contextualSpacing/>
              <w:rPr>
                <w:rFonts w:eastAsiaTheme="minorHAnsi" w:cs="AdvAGaramond-R"/>
                <w:color w:val="231F20"/>
                <w:szCs w:val="22"/>
                <w:lang w:val="en-GB" w:eastAsia="en-US"/>
              </w:rPr>
            </w:pPr>
            <w:r w:rsidRPr="00F7606D">
              <w:rPr>
                <w:rFonts w:eastAsiaTheme="minorHAnsi" w:cs="AdvAGaramond-R"/>
                <w:color w:val="231F20"/>
                <w:szCs w:val="22"/>
                <w:lang w:val="en-GB" w:eastAsia="en-US"/>
              </w:rPr>
              <w:t xml:space="preserve">- These interventions </w:t>
            </w:r>
            <w:r w:rsidRPr="00F7606D">
              <w:rPr>
                <w:rFonts w:eastAsiaTheme="minorHAnsi" w:cs="AdvP641C"/>
                <w:szCs w:val="22"/>
                <w:lang w:val="en-GB" w:eastAsia="en-US"/>
              </w:rPr>
              <w:t>were compared one with another</w:t>
            </w:r>
          </w:p>
        </w:tc>
        <w:tc>
          <w:tcPr>
            <w:tcW w:w="1559" w:type="dxa"/>
          </w:tcPr>
          <w:p w:rsidR="003C1176" w:rsidRPr="00F7606D" w:rsidRDefault="003C1176" w:rsidP="00302407">
            <w:pPr>
              <w:tabs>
                <w:tab w:val="clear" w:pos="510"/>
              </w:tabs>
              <w:spacing w:line="240" w:lineRule="auto"/>
              <w:contextualSpacing/>
              <w:rPr>
                <w:szCs w:val="22"/>
                <w:lang w:val="en-GB"/>
              </w:rPr>
            </w:pPr>
            <w:r w:rsidRPr="00F7606D">
              <w:rPr>
                <w:rFonts w:eastAsiaTheme="minorHAnsi"/>
                <w:szCs w:val="22"/>
                <w:lang w:val="en-GB" w:eastAsia="en-US"/>
              </w:rPr>
              <w:t>Treatment-naïve</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3 years</w:t>
            </w:r>
          </w:p>
          <w:p w:rsidR="003C1176" w:rsidRPr="00F7606D" w:rsidRDefault="003C1176" w:rsidP="00302407">
            <w:pPr>
              <w:tabs>
                <w:tab w:val="clear" w:pos="510"/>
              </w:tabs>
              <w:spacing w:line="240" w:lineRule="auto"/>
              <w:contextualSpacing/>
              <w:rPr>
                <w:szCs w:val="22"/>
                <w:lang w:val="en-GB"/>
              </w:rPr>
            </w:pPr>
          </w:p>
          <w:p w:rsidR="003C1176" w:rsidRPr="00F7606D" w:rsidRDefault="003C1176" w:rsidP="00302407">
            <w:pPr>
              <w:tabs>
                <w:tab w:val="clear" w:pos="510"/>
              </w:tabs>
              <w:spacing w:line="240" w:lineRule="auto"/>
              <w:contextualSpacing/>
              <w:rPr>
                <w:szCs w:val="22"/>
                <w:lang w:val="en-GB"/>
              </w:rPr>
            </w:pPr>
          </w:p>
          <w:p w:rsidR="003C1176" w:rsidRPr="00F7606D" w:rsidRDefault="003C1176" w:rsidP="00302407">
            <w:pPr>
              <w:tabs>
                <w:tab w:val="clear" w:pos="510"/>
              </w:tabs>
              <w:spacing w:line="240" w:lineRule="auto"/>
              <w:contextualSpacing/>
              <w:rPr>
                <w:szCs w:val="22"/>
                <w:lang w:val="en-GB"/>
              </w:rPr>
            </w:pPr>
          </w:p>
          <w:p w:rsidR="003C1176" w:rsidRPr="00F7606D" w:rsidRDefault="003C1176" w:rsidP="00302407">
            <w:pPr>
              <w:tabs>
                <w:tab w:val="clear" w:pos="510"/>
              </w:tabs>
              <w:spacing w:line="240" w:lineRule="auto"/>
              <w:contextualSpacing/>
              <w:rPr>
                <w:szCs w:val="22"/>
                <w:lang w:val="en-GB"/>
              </w:rPr>
            </w:pPr>
          </w:p>
        </w:tc>
      </w:tr>
      <w:tr w:rsidR="003C1176" w:rsidRPr="00F7606D" w:rsidTr="0075275D">
        <w:trPr>
          <w:trHeight w:val="36"/>
        </w:trPr>
        <w:tc>
          <w:tcPr>
            <w:tcW w:w="3964" w:type="dxa"/>
          </w:tcPr>
          <w:p w:rsidR="00ED54B6" w:rsidRDefault="003C1176" w:rsidP="00302407">
            <w:pPr>
              <w:tabs>
                <w:tab w:val="clear" w:pos="510"/>
              </w:tabs>
              <w:spacing w:line="240" w:lineRule="auto"/>
              <w:contextualSpacing/>
              <w:rPr>
                <w:b/>
                <w:i/>
                <w:szCs w:val="22"/>
                <w:lang w:val="en-GB"/>
              </w:rPr>
            </w:pPr>
            <w:r w:rsidRPr="00F7606D">
              <w:rPr>
                <w:b/>
                <w:i/>
                <w:szCs w:val="22"/>
                <w:lang w:val="en-GB"/>
              </w:rPr>
              <w:t>MSCRG (1996)</w:t>
            </w:r>
          </w:p>
          <w:p w:rsidR="00ED54B6" w:rsidRDefault="00ED54B6" w:rsidP="00302407">
            <w:pPr>
              <w:tabs>
                <w:tab w:val="clear" w:pos="510"/>
              </w:tabs>
              <w:spacing w:line="240" w:lineRule="auto"/>
              <w:contextualSpacing/>
              <w:rPr>
                <w:b/>
                <w:i/>
                <w:szCs w:val="22"/>
                <w:lang w:val="en-GB"/>
              </w:rPr>
            </w:pPr>
            <w:r w:rsidRPr="00B61623">
              <w:rPr>
                <w:color w:val="000000" w:themeColor="text1"/>
                <w:lang w:val="en-US"/>
              </w:rPr>
              <w:t>Jacobs LD, Cookfair DL, Rudick RA, Herndon RM, Richert JR, Salazar AM, et al. Intramuscular interferon beta-1a for disease progression in relapsing multiple sclerosis. The Multiple Sclerosis Collaborative Research Group (MSCRG). Ann Neurol 1996;39(3):285-294.</w:t>
            </w:r>
          </w:p>
          <w:p w:rsidR="003C1176" w:rsidRPr="00F7606D" w:rsidRDefault="00ED54B6" w:rsidP="00302407">
            <w:pPr>
              <w:tabs>
                <w:tab w:val="clear" w:pos="510"/>
              </w:tabs>
              <w:spacing w:line="240" w:lineRule="auto"/>
              <w:contextualSpacing/>
              <w:rPr>
                <w:b/>
                <w:i/>
                <w:szCs w:val="22"/>
                <w:lang w:val="en-GB"/>
              </w:rPr>
            </w:pPr>
            <w:r w:rsidRPr="00F7606D">
              <w:rPr>
                <w:b/>
                <w:i/>
                <w:szCs w:val="22"/>
                <w:lang w:val="en-GB"/>
              </w:rPr>
              <w:t xml:space="preserve"> </w:t>
            </w:r>
          </w:p>
          <w:p w:rsidR="003C1176" w:rsidRPr="00F7606D" w:rsidRDefault="003C1176" w:rsidP="00302407">
            <w:pPr>
              <w:tabs>
                <w:tab w:val="clear" w:pos="510"/>
              </w:tabs>
              <w:spacing w:line="240" w:lineRule="auto"/>
              <w:contextualSpacing/>
              <w:rPr>
                <w:b/>
                <w:i/>
                <w:szCs w:val="22"/>
                <w:lang w:val="en-GB"/>
              </w:rPr>
            </w:pPr>
            <w:r w:rsidRPr="00F7606D">
              <w:rPr>
                <w:rFonts w:eastAsiaTheme="minorHAnsi"/>
                <w:szCs w:val="22"/>
                <w:lang w:val="en-GB" w:eastAsia="en-US"/>
              </w:rPr>
              <w:t>Double-blind, in 4 centres in the US</w:t>
            </w:r>
          </w:p>
        </w:tc>
        <w:tc>
          <w:tcPr>
            <w:tcW w:w="6663" w:type="dxa"/>
            <w:gridSpan w:val="3"/>
          </w:tcPr>
          <w:p w:rsidR="003C1176" w:rsidRPr="00B4105F" w:rsidRDefault="003C1176" w:rsidP="00302407">
            <w:pPr>
              <w:tabs>
                <w:tab w:val="clear" w:pos="510"/>
              </w:tabs>
              <w:spacing w:line="240" w:lineRule="auto"/>
              <w:contextualSpacing/>
              <w:rPr>
                <w:szCs w:val="22"/>
                <w:lang w:val="pt-PT"/>
              </w:rPr>
            </w:pPr>
            <w:r w:rsidRPr="00B4105F">
              <w:rPr>
                <w:szCs w:val="22"/>
                <w:lang w:val="pt-PT"/>
              </w:rPr>
              <w:t>- Interferon beta-l a 30 mcg IM q.w. (n=158)</w:t>
            </w:r>
          </w:p>
          <w:p w:rsidR="003C1176" w:rsidRPr="00F7606D" w:rsidRDefault="003C1176" w:rsidP="00302407">
            <w:pPr>
              <w:tabs>
                <w:tab w:val="clear" w:pos="510"/>
              </w:tabs>
              <w:autoSpaceDE w:val="0"/>
              <w:autoSpaceDN w:val="0"/>
              <w:adjustRightInd w:val="0"/>
              <w:spacing w:line="240" w:lineRule="auto"/>
              <w:contextualSpacing/>
              <w:jc w:val="both"/>
              <w:rPr>
                <w:rFonts w:cs="Arial"/>
                <w:color w:val="000000"/>
                <w:szCs w:val="22"/>
                <w:lang w:val="en-GB"/>
              </w:rPr>
            </w:pPr>
            <w:r w:rsidRPr="00F7606D">
              <w:rPr>
                <w:szCs w:val="22"/>
                <w:lang w:val="en-GB"/>
              </w:rPr>
              <w:t>- Placebo (n=143)</w:t>
            </w:r>
          </w:p>
        </w:tc>
        <w:tc>
          <w:tcPr>
            <w:tcW w:w="1559" w:type="dxa"/>
          </w:tcPr>
          <w:p w:rsidR="003C1176" w:rsidRPr="00F7606D" w:rsidRDefault="003C1176" w:rsidP="00302407">
            <w:pPr>
              <w:tabs>
                <w:tab w:val="clear" w:pos="510"/>
              </w:tabs>
              <w:spacing w:line="240" w:lineRule="auto"/>
              <w:contextualSpacing/>
              <w:rPr>
                <w:rFonts w:eastAsiaTheme="minorHAnsi"/>
                <w:szCs w:val="22"/>
                <w:lang w:val="en-GB" w:eastAsia="en-US"/>
              </w:rPr>
            </w:pPr>
            <w:r w:rsidRPr="00F7606D">
              <w:rPr>
                <w:rFonts w:eastAsiaTheme="minorHAnsi"/>
                <w:szCs w:val="22"/>
                <w:lang w:val="en-GB" w:eastAsia="en-US"/>
              </w:rPr>
              <w:t>Treatment-naive</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2 years</w:t>
            </w:r>
          </w:p>
        </w:tc>
      </w:tr>
      <w:tr w:rsidR="003C1176" w:rsidRPr="00F7606D" w:rsidTr="0075275D">
        <w:trPr>
          <w:trHeight w:val="36"/>
        </w:trPr>
        <w:tc>
          <w:tcPr>
            <w:tcW w:w="3964" w:type="dxa"/>
          </w:tcPr>
          <w:p w:rsidR="00ED54B6" w:rsidRDefault="003C1176" w:rsidP="00302407">
            <w:pPr>
              <w:tabs>
                <w:tab w:val="clear" w:pos="510"/>
              </w:tabs>
              <w:spacing w:line="240" w:lineRule="auto"/>
              <w:contextualSpacing/>
              <w:rPr>
                <w:b/>
                <w:i/>
                <w:szCs w:val="22"/>
                <w:lang w:val="en-GB"/>
              </w:rPr>
            </w:pPr>
            <w:r w:rsidRPr="00F7606D">
              <w:rPr>
                <w:b/>
                <w:i/>
                <w:szCs w:val="22"/>
                <w:lang w:val="en-GB"/>
              </w:rPr>
              <w:t>EVIDENCE (2002)</w:t>
            </w:r>
          </w:p>
          <w:p w:rsidR="00ED54B6" w:rsidRDefault="00ED54B6" w:rsidP="00302407">
            <w:pPr>
              <w:tabs>
                <w:tab w:val="clear" w:pos="510"/>
              </w:tabs>
              <w:spacing w:line="240" w:lineRule="auto"/>
              <w:contextualSpacing/>
              <w:rPr>
                <w:b/>
                <w:i/>
                <w:szCs w:val="22"/>
                <w:lang w:val="en-GB"/>
              </w:rPr>
            </w:pPr>
            <w:r w:rsidRPr="00B61623">
              <w:rPr>
                <w:color w:val="000000" w:themeColor="text1"/>
                <w:lang w:val="en-US"/>
              </w:rPr>
              <w:t>Panitch H, Goodin DS, Francis G, Chang P, Coyle PK, O'Connor P, et al. Randomized, comparative study of interferon beta-1a treatment regimens in MS: The EVIDENCE Trial. Neurology 2002;59(10):1496-1506.</w:t>
            </w:r>
          </w:p>
          <w:p w:rsidR="003C1176" w:rsidRPr="00F7606D" w:rsidRDefault="00ED54B6" w:rsidP="00302407">
            <w:pPr>
              <w:tabs>
                <w:tab w:val="clear" w:pos="510"/>
              </w:tabs>
              <w:spacing w:line="240" w:lineRule="auto"/>
              <w:contextualSpacing/>
              <w:rPr>
                <w:b/>
                <w:i/>
                <w:szCs w:val="22"/>
                <w:lang w:val="en-GB"/>
              </w:rPr>
            </w:pPr>
            <w:r w:rsidRPr="00F7606D">
              <w:rPr>
                <w:b/>
                <w:i/>
                <w:szCs w:val="22"/>
                <w:lang w:val="en-GB"/>
              </w:rPr>
              <w:t xml:space="preserve"> </w:t>
            </w:r>
          </w:p>
          <w:p w:rsidR="003C1176" w:rsidRPr="00F7606D" w:rsidRDefault="003C1176" w:rsidP="00302407">
            <w:pPr>
              <w:tabs>
                <w:tab w:val="clear" w:pos="510"/>
              </w:tabs>
              <w:spacing w:line="240" w:lineRule="auto"/>
              <w:contextualSpacing/>
              <w:rPr>
                <w:b/>
                <w:i/>
                <w:szCs w:val="22"/>
                <w:lang w:val="en-GB"/>
              </w:rPr>
            </w:pPr>
            <w:r w:rsidRPr="00F7606D">
              <w:rPr>
                <w:szCs w:val="22"/>
                <w:lang w:val="en-GB"/>
              </w:rPr>
              <w:t>Rater-blinded, in 56 centres in Europe, Canada, and US.</w:t>
            </w:r>
          </w:p>
        </w:tc>
        <w:tc>
          <w:tcPr>
            <w:tcW w:w="6663" w:type="dxa"/>
            <w:gridSpan w:val="3"/>
          </w:tcPr>
          <w:p w:rsidR="003C1176" w:rsidRPr="00B4105F" w:rsidRDefault="003C1176" w:rsidP="00302407">
            <w:pPr>
              <w:tabs>
                <w:tab w:val="clear" w:pos="510"/>
              </w:tabs>
              <w:autoSpaceDE w:val="0"/>
              <w:autoSpaceDN w:val="0"/>
              <w:adjustRightInd w:val="0"/>
              <w:spacing w:line="240" w:lineRule="auto"/>
              <w:contextualSpacing/>
              <w:jc w:val="both"/>
              <w:rPr>
                <w:rFonts w:eastAsiaTheme="minorHAnsi" w:cs="Arial"/>
                <w:szCs w:val="22"/>
                <w:lang w:val="pt-PT" w:eastAsia="en-US"/>
              </w:rPr>
            </w:pPr>
            <w:r w:rsidRPr="00B4105F">
              <w:rPr>
                <w:rFonts w:eastAsiaTheme="minorHAnsi" w:cs="Arial"/>
                <w:bCs/>
                <w:szCs w:val="22"/>
                <w:lang w:val="pt-PT" w:eastAsia="en-US"/>
              </w:rPr>
              <w:t xml:space="preserve">- Interferon beta-1a 30 mcg IM q.w. </w:t>
            </w:r>
            <w:r w:rsidRPr="00B4105F">
              <w:rPr>
                <w:rFonts w:eastAsiaTheme="minorHAnsi" w:cs="Arial"/>
                <w:szCs w:val="22"/>
                <w:lang w:val="pt-PT" w:eastAsia="en-US"/>
              </w:rPr>
              <w:t>(n = 338)</w:t>
            </w:r>
          </w:p>
          <w:p w:rsidR="003C1176" w:rsidRPr="00B4105F" w:rsidRDefault="003C1176" w:rsidP="00302407">
            <w:pPr>
              <w:tabs>
                <w:tab w:val="clear" w:pos="510"/>
              </w:tabs>
              <w:spacing w:line="240" w:lineRule="auto"/>
              <w:contextualSpacing/>
              <w:rPr>
                <w:szCs w:val="22"/>
                <w:lang w:val="pt-PT"/>
              </w:rPr>
            </w:pPr>
            <w:r w:rsidRPr="00B4105F">
              <w:rPr>
                <w:rFonts w:eastAsiaTheme="minorHAnsi" w:cs="Arial"/>
                <w:bCs/>
                <w:szCs w:val="22"/>
                <w:lang w:val="pt-PT" w:eastAsia="en-US"/>
              </w:rPr>
              <w:t xml:space="preserve">- Interferon beta-1a 44 mcg SC t.i.w. </w:t>
            </w:r>
            <w:r w:rsidRPr="00B4105F">
              <w:rPr>
                <w:rFonts w:eastAsiaTheme="minorHAnsi" w:cs="Arial"/>
                <w:szCs w:val="22"/>
                <w:lang w:val="pt-PT" w:eastAsia="en-US"/>
              </w:rPr>
              <w:t>(n = 339)</w:t>
            </w:r>
          </w:p>
        </w:tc>
        <w:tc>
          <w:tcPr>
            <w:tcW w:w="1559" w:type="dxa"/>
          </w:tcPr>
          <w:p w:rsidR="003C1176" w:rsidRPr="00F7606D" w:rsidRDefault="003C1176" w:rsidP="00302407">
            <w:pPr>
              <w:tabs>
                <w:tab w:val="clear" w:pos="510"/>
              </w:tabs>
              <w:spacing w:line="240" w:lineRule="auto"/>
              <w:contextualSpacing/>
              <w:rPr>
                <w:rFonts w:eastAsiaTheme="minorHAnsi"/>
                <w:szCs w:val="22"/>
                <w:lang w:val="en-GB" w:eastAsia="en-US"/>
              </w:rPr>
            </w:pPr>
            <w:r w:rsidRPr="00F7606D">
              <w:rPr>
                <w:szCs w:val="22"/>
                <w:lang w:val="en-GB"/>
              </w:rPr>
              <w:t>Unclear</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24 weeks</w:t>
            </w:r>
          </w:p>
        </w:tc>
      </w:tr>
      <w:tr w:rsidR="003C1176" w:rsidRPr="00F7606D" w:rsidTr="0075275D">
        <w:trPr>
          <w:trHeight w:val="36"/>
        </w:trPr>
        <w:tc>
          <w:tcPr>
            <w:tcW w:w="3964" w:type="dxa"/>
          </w:tcPr>
          <w:p w:rsidR="003C1176" w:rsidRDefault="003C1176" w:rsidP="00302407">
            <w:pPr>
              <w:tabs>
                <w:tab w:val="clear" w:pos="510"/>
              </w:tabs>
              <w:spacing w:line="240" w:lineRule="auto"/>
              <w:contextualSpacing/>
              <w:rPr>
                <w:b/>
                <w:i/>
                <w:szCs w:val="22"/>
                <w:lang w:val="en-GB"/>
              </w:rPr>
            </w:pPr>
            <w:r w:rsidRPr="00F7606D">
              <w:rPr>
                <w:b/>
                <w:i/>
                <w:szCs w:val="22"/>
                <w:lang w:val="en-GB"/>
              </w:rPr>
              <w:t xml:space="preserve">INCOMIN (2002) </w:t>
            </w:r>
          </w:p>
          <w:p w:rsidR="00ED54B6" w:rsidRDefault="00ED54B6" w:rsidP="00302407">
            <w:pPr>
              <w:tabs>
                <w:tab w:val="clear" w:pos="510"/>
              </w:tabs>
              <w:spacing w:line="240" w:lineRule="auto"/>
              <w:contextualSpacing/>
              <w:rPr>
                <w:b/>
                <w:i/>
                <w:szCs w:val="22"/>
                <w:lang w:val="en-GB"/>
              </w:rPr>
            </w:pPr>
            <w:r w:rsidRPr="00ED54B6">
              <w:rPr>
                <w:color w:val="000000" w:themeColor="text1"/>
              </w:rPr>
              <w:t xml:space="preserve">Durelli L, Verdun E, Barbero P, Bergui M, Versino E, Ghezzi A, et al. </w:t>
            </w:r>
            <w:r w:rsidRPr="00B61623">
              <w:rPr>
                <w:color w:val="000000" w:themeColor="text1"/>
                <w:lang w:val="en-US"/>
              </w:rPr>
              <w:t>Every-other-day interferon beta-1b versus once-weekly interferon beta-1a for multiple sclerosis: results of a 2-year prospective randomised multicentre study (INCOMIN). Lancet 2002;359(9316):1453-1460.</w:t>
            </w:r>
          </w:p>
          <w:p w:rsidR="00ED54B6" w:rsidRPr="00F7606D" w:rsidRDefault="00ED54B6" w:rsidP="00302407">
            <w:pPr>
              <w:tabs>
                <w:tab w:val="clear" w:pos="510"/>
              </w:tabs>
              <w:spacing w:line="240" w:lineRule="auto"/>
              <w:contextualSpacing/>
              <w:rPr>
                <w:b/>
                <w:i/>
                <w:szCs w:val="22"/>
                <w:lang w:val="en-GB"/>
              </w:rPr>
            </w:pPr>
          </w:p>
          <w:p w:rsidR="003C1176" w:rsidRPr="00F7606D" w:rsidRDefault="003C1176" w:rsidP="00302407">
            <w:pPr>
              <w:tabs>
                <w:tab w:val="clear" w:pos="510"/>
              </w:tabs>
              <w:spacing w:line="240" w:lineRule="auto"/>
              <w:contextualSpacing/>
              <w:rPr>
                <w:b/>
                <w:i/>
                <w:szCs w:val="22"/>
                <w:lang w:val="en-GB"/>
              </w:rPr>
            </w:pPr>
            <w:r w:rsidRPr="00F7606D">
              <w:rPr>
                <w:szCs w:val="22"/>
                <w:lang w:val="en-GB"/>
              </w:rPr>
              <w:t>Open label, rater-masked, in 15 centres in Italy</w:t>
            </w:r>
          </w:p>
        </w:tc>
        <w:tc>
          <w:tcPr>
            <w:tcW w:w="6663" w:type="dxa"/>
            <w:gridSpan w:val="3"/>
          </w:tcPr>
          <w:p w:rsidR="003C1176" w:rsidRPr="00B4105F" w:rsidRDefault="003C1176" w:rsidP="00302407">
            <w:pPr>
              <w:tabs>
                <w:tab w:val="clear" w:pos="510"/>
              </w:tabs>
              <w:spacing w:line="240" w:lineRule="auto"/>
              <w:contextualSpacing/>
              <w:rPr>
                <w:szCs w:val="22"/>
                <w:lang w:val="pt-PT"/>
              </w:rPr>
            </w:pPr>
            <w:r w:rsidRPr="00B4105F">
              <w:rPr>
                <w:bCs/>
                <w:szCs w:val="22"/>
                <w:lang w:val="pt-PT"/>
              </w:rPr>
              <w:t xml:space="preserve">- Interferon beta-1a 30 mcg IM q.w. </w:t>
            </w:r>
            <w:r w:rsidRPr="00B4105F">
              <w:rPr>
                <w:szCs w:val="22"/>
                <w:lang w:val="pt-PT"/>
              </w:rPr>
              <w:t>(n = 92)</w:t>
            </w:r>
          </w:p>
          <w:p w:rsidR="003C1176" w:rsidRPr="00F7606D" w:rsidRDefault="003C1176" w:rsidP="00302407">
            <w:pPr>
              <w:tabs>
                <w:tab w:val="clear" w:pos="510"/>
              </w:tabs>
              <w:autoSpaceDE w:val="0"/>
              <w:autoSpaceDN w:val="0"/>
              <w:adjustRightInd w:val="0"/>
              <w:spacing w:line="240" w:lineRule="auto"/>
              <w:contextualSpacing/>
              <w:jc w:val="both"/>
              <w:rPr>
                <w:rFonts w:eastAsiaTheme="minorHAnsi" w:cs="Arial"/>
                <w:bCs/>
                <w:szCs w:val="22"/>
                <w:lang w:val="en-GB" w:eastAsia="en-US"/>
              </w:rPr>
            </w:pPr>
            <w:r w:rsidRPr="00F7606D">
              <w:rPr>
                <w:bCs/>
                <w:szCs w:val="22"/>
                <w:lang w:val="en-GB"/>
              </w:rPr>
              <w:t xml:space="preserve">- Interferon beta-1b 250 mcg SC every other day </w:t>
            </w:r>
            <w:r w:rsidRPr="00F7606D">
              <w:rPr>
                <w:szCs w:val="22"/>
                <w:lang w:val="en-GB"/>
              </w:rPr>
              <w:t>(n = 96)</w:t>
            </w:r>
          </w:p>
        </w:tc>
        <w:tc>
          <w:tcPr>
            <w:tcW w:w="1559"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Treatment-naive</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2 years</w:t>
            </w:r>
          </w:p>
        </w:tc>
      </w:tr>
      <w:tr w:rsidR="003C1176" w:rsidRPr="00F7606D" w:rsidTr="0075275D">
        <w:trPr>
          <w:trHeight w:val="36"/>
        </w:trPr>
        <w:tc>
          <w:tcPr>
            <w:tcW w:w="3964" w:type="dxa"/>
          </w:tcPr>
          <w:p w:rsidR="00ED54B6" w:rsidRPr="00DA53AF" w:rsidRDefault="00ED54B6" w:rsidP="003C1176">
            <w:pPr>
              <w:tabs>
                <w:tab w:val="clear" w:pos="510"/>
              </w:tabs>
              <w:spacing w:line="240" w:lineRule="auto"/>
              <w:contextualSpacing/>
              <w:rPr>
                <w:b/>
                <w:i/>
                <w:szCs w:val="22"/>
                <w:lang w:val="en-GB"/>
              </w:rPr>
            </w:pPr>
            <w:r w:rsidRPr="00DA53AF">
              <w:rPr>
                <w:b/>
                <w:i/>
                <w:szCs w:val="22"/>
              </w:rPr>
              <w:t xml:space="preserve">Clanet M, Radue EW, Kappos L, Hartung HP, Hohlfeld R, Sandberg-Wollheim M, et al. </w:t>
            </w:r>
            <w:r w:rsidRPr="00DA53AF">
              <w:rPr>
                <w:b/>
                <w:i/>
                <w:szCs w:val="22"/>
                <w:lang w:val="en-GB"/>
              </w:rPr>
              <w:t>A randomized, double-blind, dose-comparison study of weekly interferon beta-1a in relapsing MS. Neurology 2002;59(10):1507-1517.</w:t>
            </w:r>
          </w:p>
          <w:p w:rsidR="00ED54B6" w:rsidRDefault="00ED54B6" w:rsidP="003C1176">
            <w:pPr>
              <w:tabs>
                <w:tab w:val="clear" w:pos="510"/>
              </w:tabs>
              <w:spacing w:line="240" w:lineRule="auto"/>
              <w:contextualSpacing/>
              <w:rPr>
                <w:b/>
                <w:szCs w:val="22"/>
                <w:lang w:val="en-GB"/>
              </w:rPr>
            </w:pPr>
          </w:p>
          <w:p w:rsidR="003C1176" w:rsidRPr="00F7606D" w:rsidRDefault="003C1176" w:rsidP="003C1176">
            <w:pPr>
              <w:tabs>
                <w:tab w:val="clear" w:pos="510"/>
              </w:tabs>
              <w:spacing w:line="240" w:lineRule="auto"/>
              <w:contextualSpacing/>
              <w:rPr>
                <w:b/>
                <w:i/>
                <w:szCs w:val="22"/>
                <w:lang w:val="en-GB"/>
              </w:rPr>
            </w:pPr>
            <w:r w:rsidRPr="00F7606D">
              <w:rPr>
                <w:rFonts w:eastAsiaTheme="minorHAnsi" w:cs="NewCenturySchlbk-Roman"/>
                <w:szCs w:val="22"/>
                <w:lang w:val="en-GB" w:eastAsia="en-US"/>
              </w:rPr>
              <w:t>Double-blind, dose-comparison study. In 38 centers in Europe</w:t>
            </w:r>
          </w:p>
        </w:tc>
        <w:tc>
          <w:tcPr>
            <w:tcW w:w="6663" w:type="dxa"/>
            <w:gridSpan w:val="3"/>
          </w:tcPr>
          <w:p w:rsidR="003C1176" w:rsidRPr="00F7606D" w:rsidRDefault="003C1176" w:rsidP="00302407">
            <w:pPr>
              <w:tabs>
                <w:tab w:val="clear" w:pos="510"/>
              </w:tabs>
              <w:autoSpaceDE w:val="0"/>
              <w:autoSpaceDN w:val="0"/>
              <w:adjustRightInd w:val="0"/>
              <w:spacing w:line="240" w:lineRule="auto"/>
              <w:contextualSpacing/>
              <w:rPr>
                <w:rFonts w:eastAsiaTheme="minorHAnsi" w:cs="NewCenturySchlbk-Roman"/>
                <w:szCs w:val="22"/>
                <w:lang w:val="en-GB" w:eastAsia="en-US"/>
              </w:rPr>
            </w:pPr>
            <w:r w:rsidRPr="00F7606D">
              <w:rPr>
                <w:rFonts w:eastAsiaTheme="minorHAnsi" w:cs="NewCenturySchlbk-Roman"/>
                <w:szCs w:val="22"/>
                <w:lang w:val="en-GB" w:eastAsia="en-US"/>
              </w:rPr>
              <w:t xml:space="preserve">- Interferon beta-1a 30 </w:t>
            </w:r>
            <w:r w:rsidRPr="00F7606D">
              <w:rPr>
                <w:rFonts w:eastAsiaTheme="minorHAnsi" w:cs="Universal-GreekwithMathPi"/>
                <w:szCs w:val="22"/>
                <w:lang w:val="en-GB" w:eastAsia="en-US"/>
              </w:rPr>
              <w:t>mc</w:t>
            </w:r>
            <w:r w:rsidRPr="00F7606D">
              <w:rPr>
                <w:rFonts w:eastAsiaTheme="minorHAnsi" w:cs="NewCenturySchlbk-Roman"/>
                <w:szCs w:val="22"/>
                <w:lang w:val="en-GB" w:eastAsia="en-US"/>
              </w:rPr>
              <w:t>g IM once weekly (n=402)</w:t>
            </w:r>
          </w:p>
          <w:p w:rsidR="003C1176" w:rsidRPr="00F7606D" w:rsidRDefault="003C1176" w:rsidP="003C1176">
            <w:pPr>
              <w:tabs>
                <w:tab w:val="clear" w:pos="510"/>
              </w:tabs>
              <w:spacing w:line="240" w:lineRule="auto"/>
              <w:contextualSpacing/>
              <w:rPr>
                <w:bCs/>
                <w:szCs w:val="22"/>
                <w:lang w:val="en-GB"/>
              </w:rPr>
            </w:pPr>
            <w:r w:rsidRPr="00F7606D">
              <w:rPr>
                <w:rFonts w:eastAsiaTheme="minorHAnsi" w:cs="NewCenturySchlbk-Roman"/>
                <w:szCs w:val="22"/>
                <w:lang w:val="en-GB" w:eastAsia="en-US"/>
              </w:rPr>
              <w:t xml:space="preserve">- Interferon beta-1a 60 </w:t>
            </w:r>
            <w:r w:rsidRPr="00F7606D">
              <w:rPr>
                <w:rFonts w:eastAsiaTheme="minorHAnsi" w:cs="Universal-GreekwithMathPi"/>
                <w:szCs w:val="22"/>
                <w:lang w:val="en-GB" w:eastAsia="en-US"/>
              </w:rPr>
              <w:t>mc</w:t>
            </w:r>
            <w:r w:rsidRPr="00F7606D">
              <w:rPr>
                <w:rFonts w:eastAsiaTheme="minorHAnsi" w:cs="NewCenturySchlbk-Roman"/>
                <w:szCs w:val="22"/>
                <w:lang w:val="en-GB" w:eastAsia="en-US"/>
              </w:rPr>
              <w:t>g IM once weekly N=(400)</w:t>
            </w:r>
          </w:p>
        </w:tc>
        <w:tc>
          <w:tcPr>
            <w:tcW w:w="1559"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Unclear</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rFonts w:eastAsiaTheme="minorHAnsi"/>
                <w:szCs w:val="22"/>
                <w:lang w:val="en-GB" w:eastAsia="en-US"/>
              </w:rPr>
              <w:t>At least 3 years</w:t>
            </w:r>
          </w:p>
        </w:tc>
      </w:tr>
      <w:tr w:rsidR="003C1176" w:rsidRPr="00F7606D" w:rsidTr="0075275D">
        <w:trPr>
          <w:trHeight w:val="169"/>
        </w:trPr>
        <w:tc>
          <w:tcPr>
            <w:tcW w:w="4046" w:type="dxa"/>
            <w:gridSpan w:val="2"/>
          </w:tcPr>
          <w:p w:rsidR="00ED54B6" w:rsidRPr="00DA53AF" w:rsidRDefault="00DA53AF" w:rsidP="00302407">
            <w:pPr>
              <w:tabs>
                <w:tab w:val="clear" w:pos="510"/>
              </w:tabs>
              <w:spacing w:line="240" w:lineRule="auto"/>
              <w:contextualSpacing/>
              <w:rPr>
                <w:b/>
                <w:szCs w:val="22"/>
                <w:lang w:val="en-GB"/>
              </w:rPr>
            </w:pPr>
            <w:r w:rsidRPr="00DA53AF">
              <w:rPr>
                <w:b/>
                <w:szCs w:val="22"/>
                <w:lang w:val="en-GB"/>
              </w:rPr>
              <w:t>Kappos L, Li D, Calabresi PA, O'Connor P, Bar-Or A, Barkhof F, et al. Ocrelizumab in relapsing-remitting multiple sclerosis: a phase 2, randomised, placebo-controlled, multicentre trial. Lancet 2011;378(9805):1779-1787.</w:t>
            </w:r>
          </w:p>
          <w:p w:rsidR="00ED54B6" w:rsidRPr="00F7606D" w:rsidRDefault="00ED54B6" w:rsidP="00302407">
            <w:pPr>
              <w:tabs>
                <w:tab w:val="clear" w:pos="510"/>
              </w:tabs>
              <w:spacing w:line="240" w:lineRule="auto"/>
              <w:contextualSpacing/>
              <w:rPr>
                <w:b/>
                <w:i/>
                <w:szCs w:val="22"/>
                <w:lang w:val="en-GB"/>
              </w:rPr>
            </w:pPr>
          </w:p>
          <w:p w:rsidR="003C1176" w:rsidRPr="00F7606D" w:rsidRDefault="003C1176" w:rsidP="00302407">
            <w:pPr>
              <w:tabs>
                <w:tab w:val="clear" w:pos="510"/>
              </w:tabs>
              <w:spacing w:line="240" w:lineRule="auto"/>
              <w:contextualSpacing/>
              <w:rPr>
                <w:szCs w:val="22"/>
                <w:lang w:val="en-GB"/>
              </w:rPr>
            </w:pPr>
            <w:r w:rsidRPr="00F7606D">
              <w:rPr>
                <w:rFonts w:eastAsia="ScalaLancetPro-Bold" w:cs="ScalaLancetPro-Bold"/>
                <w:bCs/>
                <w:szCs w:val="22"/>
                <w:lang w:val="en-GB" w:eastAsia="en-US"/>
              </w:rPr>
              <w:t xml:space="preserve">79 centres in 20 countries in </w:t>
            </w:r>
            <w:r w:rsidRPr="00F7606D">
              <w:rPr>
                <w:rFonts w:eastAsia="ScalaLancetPro" w:cs="ScalaLancetPro"/>
                <w:szCs w:val="22"/>
                <w:lang w:val="en-GB" w:eastAsia="en-US"/>
              </w:rPr>
              <w:t>North America, east-central Europe, Asia, western Europe, and Latin America.</w:t>
            </w:r>
          </w:p>
        </w:tc>
        <w:tc>
          <w:tcPr>
            <w:tcW w:w="6410" w:type="dxa"/>
          </w:tcPr>
          <w:p w:rsidR="003C1176" w:rsidRPr="00F7606D" w:rsidRDefault="003C1176" w:rsidP="00302407">
            <w:pPr>
              <w:tabs>
                <w:tab w:val="clear" w:pos="510"/>
              </w:tabs>
              <w:autoSpaceDE w:val="0"/>
              <w:autoSpaceDN w:val="0"/>
              <w:adjustRightInd w:val="0"/>
              <w:spacing w:line="240" w:lineRule="auto"/>
              <w:contextualSpacing/>
              <w:jc w:val="both"/>
              <w:rPr>
                <w:rFonts w:eastAsia="Shaker2Lancet-Regular" w:cs="Shaker2Lancet-Regular"/>
                <w:szCs w:val="22"/>
                <w:lang w:val="en-GB" w:eastAsia="en-US"/>
              </w:rPr>
            </w:pPr>
            <w:r w:rsidRPr="00F7606D">
              <w:rPr>
                <w:rFonts w:eastAsia="Shaker2Lancet-Regular" w:cs="Shaker2Lancet-Regular"/>
                <w:szCs w:val="22"/>
                <w:lang w:val="en-GB" w:eastAsia="en-US"/>
              </w:rPr>
              <w:t>- Ocrelizumab 600 mg IV day 1 and 15 (n=55, not our scope)</w:t>
            </w:r>
          </w:p>
          <w:p w:rsidR="003C1176" w:rsidRPr="00F7606D" w:rsidRDefault="003C1176" w:rsidP="00302407">
            <w:pPr>
              <w:tabs>
                <w:tab w:val="clear" w:pos="510"/>
              </w:tabs>
              <w:autoSpaceDE w:val="0"/>
              <w:autoSpaceDN w:val="0"/>
              <w:adjustRightInd w:val="0"/>
              <w:spacing w:line="240" w:lineRule="auto"/>
              <w:contextualSpacing/>
              <w:jc w:val="both"/>
              <w:rPr>
                <w:rFonts w:eastAsia="Shaker2Lancet-Regular" w:cs="Shaker2Lancet-Regular"/>
                <w:szCs w:val="22"/>
                <w:lang w:val="en-GB" w:eastAsia="en-US"/>
              </w:rPr>
            </w:pPr>
            <w:r w:rsidRPr="00F7606D">
              <w:rPr>
                <w:rFonts w:eastAsia="Shaker2Lancet-Regular" w:cs="Shaker2Lancet-Regular"/>
                <w:szCs w:val="22"/>
                <w:lang w:val="en-GB" w:eastAsia="en-US"/>
              </w:rPr>
              <w:t>- Ocrelizumab 600 mg IV day 1 and 15 (n=55, not our scope)</w:t>
            </w:r>
          </w:p>
          <w:p w:rsidR="003C1176" w:rsidRPr="00B4105F" w:rsidRDefault="003C1176" w:rsidP="00302407">
            <w:pPr>
              <w:tabs>
                <w:tab w:val="clear" w:pos="510"/>
              </w:tabs>
              <w:spacing w:line="240" w:lineRule="auto"/>
              <w:contextualSpacing/>
              <w:rPr>
                <w:rFonts w:eastAsia="Shaker2Lancet-Regular" w:cs="Shaker2Lancet-Regular"/>
                <w:szCs w:val="22"/>
                <w:lang w:val="pt-PT" w:eastAsia="en-US"/>
              </w:rPr>
            </w:pPr>
            <w:r w:rsidRPr="00B4105F">
              <w:rPr>
                <w:rFonts w:eastAsia="Shaker2Lancet-Regular" w:cs="Shaker2Lancet-Regular"/>
                <w:szCs w:val="22"/>
                <w:lang w:val="pt-PT" w:eastAsia="en-US"/>
              </w:rPr>
              <w:t>- Interferon beta-1a 30 mcg IM q.d. (n=55)</w:t>
            </w:r>
          </w:p>
          <w:p w:rsidR="003C1176" w:rsidRPr="00F7606D" w:rsidRDefault="003C1176" w:rsidP="00302407">
            <w:pPr>
              <w:tabs>
                <w:tab w:val="clear" w:pos="510"/>
              </w:tabs>
              <w:spacing w:line="240" w:lineRule="auto"/>
              <w:contextualSpacing/>
              <w:rPr>
                <w:szCs w:val="22"/>
                <w:lang w:val="en-GB"/>
              </w:rPr>
            </w:pPr>
            <w:r w:rsidRPr="00F7606D">
              <w:rPr>
                <w:szCs w:val="22"/>
                <w:lang w:val="en-GB"/>
              </w:rPr>
              <w:t xml:space="preserve">- Placebo </w:t>
            </w:r>
            <w:r w:rsidRPr="00F7606D">
              <w:rPr>
                <w:rFonts w:eastAsia="Shaker2Lancet-Regular" w:cs="Shaker2Lancet-Regular"/>
                <w:szCs w:val="22"/>
                <w:lang w:val="en-GB" w:eastAsia="en-US"/>
              </w:rPr>
              <w:t>(n=54)</w:t>
            </w:r>
          </w:p>
        </w:tc>
        <w:tc>
          <w:tcPr>
            <w:tcW w:w="1730" w:type="dxa"/>
            <w:gridSpan w:val="2"/>
          </w:tcPr>
          <w:p w:rsidR="003C1176" w:rsidRPr="00F7606D" w:rsidRDefault="003C1176" w:rsidP="00302407">
            <w:pPr>
              <w:tabs>
                <w:tab w:val="clear" w:pos="510"/>
              </w:tabs>
              <w:spacing w:line="240" w:lineRule="auto"/>
              <w:contextualSpacing/>
              <w:rPr>
                <w:szCs w:val="22"/>
                <w:lang w:val="en-GB"/>
              </w:rPr>
            </w:pPr>
            <w:r w:rsidRPr="00F7606D">
              <w:rPr>
                <w:szCs w:val="22"/>
                <w:lang w:val="en-GB"/>
              </w:rPr>
              <w:t>Mixed</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24 weeks</w:t>
            </w:r>
          </w:p>
        </w:tc>
      </w:tr>
      <w:tr w:rsidR="003C1176" w:rsidRPr="00F7606D" w:rsidTr="0075275D">
        <w:trPr>
          <w:trHeight w:val="173"/>
        </w:trPr>
        <w:tc>
          <w:tcPr>
            <w:tcW w:w="4046" w:type="dxa"/>
            <w:gridSpan w:val="2"/>
          </w:tcPr>
          <w:p w:rsidR="00DA53AF" w:rsidRPr="00DA53AF" w:rsidRDefault="00DA53AF" w:rsidP="00302407">
            <w:pPr>
              <w:tabs>
                <w:tab w:val="clear" w:pos="510"/>
              </w:tabs>
              <w:spacing w:line="240" w:lineRule="auto"/>
              <w:contextualSpacing/>
              <w:rPr>
                <w:rFonts w:eastAsiaTheme="minorHAnsi"/>
                <w:b/>
                <w:i/>
                <w:szCs w:val="22"/>
                <w:lang w:val="en-GB" w:eastAsia="en-US"/>
              </w:rPr>
            </w:pPr>
            <w:r w:rsidRPr="00DA53AF">
              <w:rPr>
                <w:rFonts w:eastAsiaTheme="minorHAnsi"/>
                <w:b/>
                <w:i/>
                <w:szCs w:val="22"/>
                <w:lang w:val="en-GB" w:eastAsia="en-US"/>
              </w:rPr>
              <w:t>Mokhber N, Azarpazhooh A, Orouji E, Rao SM, Khorram B, Sahraian MA, et al. Cognitive dysfunction in patients with multiple sclerosis treated with different types of interferon beta: A randomized clinical trial. J Neurol Sci 2014;342(1-2):16-20.</w:t>
            </w:r>
          </w:p>
          <w:p w:rsidR="00DA53AF" w:rsidRPr="00F7606D" w:rsidRDefault="00DA53AF" w:rsidP="00302407">
            <w:pPr>
              <w:tabs>
                <w:tab w:val="clear" w:pos="510"/>
              </w:tabs>
              <w:spacing w:line="240" w:lineRule="auto"/>
              <w:contextualSpacing/>
              <w:rPr>
                <w:rFonts w:eastAsiaTheme="minorHAnsi"/>
                <w:b/>
                <w:i/>
                <w:szCs w:val="22"/>
                <w:lang w:val="en-GB" w:eastAsia="en-US"/>
              </w:rPr>
            </w:pPr>
          </w:p>
          <w:p w:rsidR="003C1176" w:rsidRPr="00F7606D" w:rsidRDefault="003C1176" w:rsidP="00302407">
            <w:pPr>
              <w:tabs>
                <w:tab w:val="clear" w:pos="510"/>
              </w:tabs>
              <w:spacing w:line="240" w:lineRule="auto"/>
              <w:contextualSpacing/>
              <w:rPr>
                <w:rFonts w:eastAsiaTheme="minorHAnsi"/>
                <w:b/>
                <w:i/>
                <w:szCs w:val="22"/>
                <w:lang w:val="en-GB" w:eastAsia="en-US"/>
              </w:rPr>
            </w:pPr>
            <w:r w:rsidRPr="00F7606D">
              <w:rPr>
                <w:rFonts w:eastAsiaTheme="minorHAnsi"/>
                <w:b/>
                <w:i/>
                <w:szCs w:val="22"/>
                <w:lang w:val="en-GB" w:eastAsia="en-US"/>
              </w:rPr>
              <w:t>S</w:t>
            </w:r>
            <w:r w:rsidRPr="00F7606D">
              <w:rPr>
                <w:rFonts w:eastAsiaTheme="minorHAnsi"/>
                <w:szCs w:val="22"/>
                <w:lang w:val="en-GB" w:eastAsia="en-US"/>
              </w:rPr>
              <w:t>ingle center in Iran</w:t>
            </w:r>
          </w:p>
        </w:tc>
        <w:tc>
          <w:tcPr>
            <w:tcW w:w="6410" w:type="dxa"/>
          </w:tcPr>
          <w:p w:rsidR="003C1176" w:rsidRPr="00F7606D" w:rsidRDefault="003C1176" w:rsidP="00302407">
            <w:pPr>
              <w:tabs>
                <w:tab w:val="clear" w:pos="510"/>
              </w:tabs>
              <w:autoSpaceDE w:val="0"/>
              <w:autoSpaceDN w:val="0"/>
              <w:adjustRightInd w:val="0"/>
              <w:spacing w:line="240" w:lineRule="auto"/>
              <w:contextualSpacing/>
              <w:jc w:val="both"/>
              <w:rPr>
                <w:rFonts w:eastAsiaTheme="minorHAnsi" w:cs="AdvTT5235d5a9"/>
                <w:color w:val="000000" w:themeColor="text1"/>
                <w:szCs w:val="22"/>
                <w:lang w:val="en-GB" w:eastAsia="en-US"/>
              </w:rPr>
            </w:pPr>
            <w:r w:rsidRPr="00F7606D">
              <w:rPr>
                <w:rFonts w:cs="Arial"/>
                <w:color w:val="000000" w:themeColor="text1"/>
                <w:szCs w:val="22"/>
                <w:shd w:val="clear" w:color="auto" w:fill="FFFFFF"/>
                <w:lang w:val="en-GB"/>
              </w:rPr>
              <w:t xml:space="preserve">- Interferon beta-1a </w:t>
            </w:r>
            <w:r w:rsidRPr="00F7606D">
              <w:rPr>
                <w:rFonts w:eastAsiaTheme="minorHAnsi" w:cs="AdvP641C"/>
                <w:color w:val="000000" w:themeColor="text1"/>
                <w:szCs w:val="22"/>
                <w:lang w:val="en-GB" w:eastAsia="en-US"/>
              </w:rPr>
              <w:t>(Avonex )</w:t>
            </w:r>
            <w:r w:rsidRPr="00F7606D">
              <w:rPr>
                <w:rFonts w:cs="Arial"/>
                <w:color w:val="000000" w:themeColor="text1"/>
                <w:szCs w:val="22"/>
                <w:shd w:val="clear" w:color="auto" w:fill="FFFFFF"/>
                <w:lang w:val="en-GB"/>
              </w:rPr>
              <w:t xml:space="preserve"> </w:t>
            </w:r>
            <w:r w:rsidRPr="00F7606D">
              <w:rPr>
                <w:rFonts w:eastAsiaTheme="minorHAnsi" w:cs="AdvTT5235d5a9"/>
                <w:color w:val="000000" w:themeColor="text1"/>
                <w:szCs w:val="22"/>
                <w:lang w:val="en-GB" w:eastAsia="en-US"/>
              </w:rPr>
              <w:t>30 mcg once per week IM injection;</w:t>
            </w:r>
            <w:r w:rsidRPr="00F7606D">
              <w:rPr>
                <w:rFonts w:eastAsiaTheme="minorHAnsi" w:cs="AdvP641C"/>
                <w:color w:val="000000" w:themeColor="text1"/>
                <w:szCs w:val="22"/>
                <w:lang w:val="en-GB" w:eastAsia="en-US"/>
              </w:rPr>
              <w:t xml:space="preserve"> (n=23)</w:t>
            </w:r>
          </w:p>
          <w:p w:rsidR="003C1176" w:rsidRPr="00F7606D" w:rsidRDefault="003C1176" w:rsidP="00302407">
            <w:pPr>
              <w:tabs>
                <w:tab w:val="clear" w:pos="510"/>
              </w:tabs>
              <w:autoSpaceDE w:val="0"/>
              <w:autoSpaceDN w:val="0"/>
              <w:adjustRightInd w:val="0"/>
              <w:spacing w:line="240" w:lineRule="auto"/>
              <w:contextualSpacing/>
              <w:jc w:val="both"/>
              <w:rPr>
                <w:rFonts w:eastAsiaTheme="minorHAnsi" w:cs="AdvTT5235d5a9"/>
                <w:color w:val="000000" w:themeColor="text1"/>
                <w:szCs w:val="22"/>
                <w:lang w:val="en-GB" w:eastAsia="en-US"/>
              </w:rPr>
            </w:pPr>
            <w:r w:rsidRPr="00F7606D">
              <w:rPr>
                <w:rFonts w:cs="Arial"/>
                <w:color w:val="000000" w:themeColor="text1"/>
                <w:szCs w:val="22"/>
                <w:shd w:val="clear" w:color="auto" w:fill="FFFFFF"/>
                <w:lang w:val="en-GB"/>
              </w:rPr>
              <w:t xml:space="preserve">- Interferon beta-1a </w:t>
            </w:r>
            <w:r w:rsidRPr="00F7606D">
              <w:rPr>
                <w:rFonts w:eastAsiaTheme="minorHAnsi" w:cs="AdvP641C"/>
                <w:color w:val="000000" w:themeColor="text1"/>
                <w:szCs w:val="22"/>
                <w:lang w:val="en-GB" w:eastAsia="en-US"/>
              </w:rPr>
              <w:t xml:space="preserve">(Rebif) </w:t>
            </w:r>
            <w:r w:rsidRPr="00F7606D">
              <w:rPr>
                <w:rFonts w:eastAsiaTheme="minorHAnsi" w:cs="AdvTT5235d5a9"/>
                <w:color w:val="000000" w:themeColor="text1"/>
                <w:szCs w:val="22"/>
                <w:lang w:val="en-GB" w:eastAsia="en-US"/>
              </w:rPr>
              <w:t xml:space="preserve">44 mcg </w:t>
            </w:r>
            <w:r w:rsidRPr="00F7606D">
              <w:rPr>
                <w:color w:val="000000" w:themeColor="text1"/>
                <w:szCs w:val="22"/>
                <w:lang w:val="en-GB"/>
              </w:rPr>
              <w:t>t.i.w.</w:t>
            </w:r>
            <w:r w:rsidRPr="00F7606D">
              <w:rPr>
                <w:rFonts w:eastAsiaTheme="minorHAnsi" w:cs="AdvTT5235d5a9"/>
                <w:color w:val="000000" w:themeColor="text1"/>
                <w:szCs w:val="22"/>
                <w:lang w:val="en-GB" w:eastAsia="en-US"/>
              </w:rPr>
              <w:t xml:space="preserve"> SC injection;</w:t>
            </w:r>
            <w:r w:rsidRPr="00F7606D">
              <w:rPr>
                <w:rFonts w:eastAsiaTheme="minorHAnsi" w:cs="AdvP641C"/>
                <w:color w:val="000000" w:themeColor="text1"/>
                <w:szCs w:val="22"/>
                <w:lang w:val="en-GB" w:eastAsia="en-US"/>
              </w:rPr>
              <w:t xml:space="preserve"> (n=23)</w:t>
            </w:r>
          </w:p>
          <w:p w:rsidR="003C1176" w:rsidRPr="00F7606D" w:rsidRDefault="003C1176" w:rsidP="00302407">
            <w:pPr>
              <w:tabs>
                <w:tab w:val="clear" w:pos="510"/>
              </w:tabs>
              <w:spacing w:line="240" w:lineRule="auto"/>
              <w:contextualSpacing/>
              <w:rPr>
                <w:rFonts w:eastAsiaTheme="minorHAnsi" w:cs="AdvP641C"/>
                <w:szCs w:val="22"/>
                <w:lang w:val="en-GB" w:eastAsia="en-US"/>
              </w:rPr>
            </w:pPr>
            <w:r w:rsidRPr="00F7606D">
              <w:rPr>
                <w:rFonts w:cs="Arial"/>
                <w:color w:val="000000" w:themeColor="text1"/>
                <w:szCs w:val="22"/>
                <w:shd w:val="clear" w:color="auto" w:fill="FFFFFF"/>
                <w:lang w:val="en-GB"/>
              </w:rPr>
              <w:t xml:space="preserve">- Interferon beta-1a (Betaferon) </w:t>
            </w:r>
            <w:r w:rsidRPr="00F7606D">
              <w:rPr>
                <w:rFonts w:eastAsiaTheme="minorHAnsi" w:cs="AdvTT5235d5a9"/>
                <w:szCs w:val="22"/>
                <w:lang w:val="en-GB" w:eastAsia="en-US"/>
              </w:rPr>
              <w:t>0.25 mg every other day SC injection</w:t>
            </w:r>
            <w:r w:rsidRPr="00F7606D">
              <w:rPr>
                <w:rFonts w:eastAsiaTheme="minorHAnsi" w:cs="AdvP641C"/>
                <w:szCs w:val="22"/>
                <w:lang w:val="en-GB" w:eastAsia="en-US"/>
              </w:rPr>
              <w:t xml:space="preserve"> (n=23)</w:t>
            </w:r>
          </w:p>
        </w:tc>
        <w:tc>
          <w:tcPr>
            <w:tcW w:w="1730" w:type="dxa"/>
            <w:gridSpan w:val="2"/>
          </w:tcPr>
          <w:p w:rsidR="003C1176" w:rsidRPr="00F7606D" w:rsidRDefault="003C1176" w:rsidP="00302407">
            <w:pPr>
              <w:tabs>
                <w:tab w:val="clear" w:pos="510"/>
              </w:tabs>
              <w:spacing w:line="240" w:lineRule="auto"/>
              <w:contextualSpacing/>
              <w:rPr>
                <w:szCs w:val="22"/>
                <w:lang w:val="en-GB"/>
              </w:rPr>
            </w:pPr>
            <w:r w:rsidRPr="00F7606D">
              <w:rPr>
                <w:rFonts w:cs="TimesNewRomanPSMT"/>
                <w:szCs w:val="22"/>
                <w:lang w:val="en-GB"/>
              </w:rPr>
              <w:t>Treatment-naive</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1 year</w:t>
            </w:r>
          </w:p>
        </w:tc>
      </w:tr>
      <w:tr w:rsidR="003C1176" w:rsidRPr="00F7606D" w:rsidTr="0075275D">
        <w:trPr>
          <w:trHeight w:val="231"/>
        </w:trPr>
        <w:tc>
          <w:tcPr>
            <w:tcW w:w="4046" w:type="dxa"/>
            <w:gridSpan w:val="2"/>
          </w:tcPr>
          <w:p w:rsidR="003C1176" w:rsidRDefault="003C1176" w:rsidP="00302407">
            <w:pPr>
              <w:tabs>
                <w:tab w:val="clear" w:pos="510"/>
              </w:tabs>
              <w:spacing w:line="240" w:lineRule="auto"/>
              <w:contextualSpacing/>
              <w:rPr>
                <w:b/>
                <w:i/>
              </w:rPr>
            </w:pPr>
            <w:r w:rsidRPr="00F7606D">
              <w:rPr>
                <w:b/>
                <w:i/>
                <w:szCs w:val="22"/>
                <w:lang w:val="en-GB" w:eastAsia="en-US"/>
              </w:rPr>
              <w:t xml:space="preserve">BRAVO (2014) </w:t>
            </w:r>
          </w:p>
          <w:p w:rsidR="00DA53AF" w:rsidRDefault="00DA53AF" w:rsidP="00302407">
            <w:pPr>
              <w:tabs>
                <w:tab w:val="clear" w:pos="510"/>
              </w:tabs>
              <w:spacing w:line="240" w:lineRule="auto"/>
              <w:contextualSpacing/>
              <w:rPr>
                <w:b/>
                <w:i/>
              </w:rPr>
            </w:pPr>
            <w:r w:rsidRPr="00B62BC7">
              <w:rPr>
                <w:color w:val="000000" w:themeColor="text1"/>
              </w:rPr>
              <w:t xml:space="preserve">Vollmer TL, Sorensen PS, Selmaj K, Zipp F, Havrdova E, Cohen JA, et al. </w:t>
            </w:r>
            <w:r w:rsidRPr="00B61623">
              <w:rPr>
                <w:color w:val="000000" w:themeColor="text1"/>
                <w:lang w:val="en-US"/>
              </w:rPr>
              <w:t>A randomized placebo-controlled phase III trial of oral laquinimod for multiple sclerosis. J Neurol 2014;261(4):773-783.</w:t>
            </w:r>
          </w:p>
          <w:p w:rsidR="00DA53AF" w:rsidRPr="00F7606D" w:rsidRDefault="00DA53AF" w:rsidP="00302407">
            <w:pPr>
              <w:tabs>
                <w:tab w:val="clear" w:pos="510"/>
              </w:tabs>
              <w:spacing w:line="240" w:lineRule="auto"/>
              <w:contextualSpacing/>
              <w:rPr>
                <w:b/>
                <w:i/>
                <w:szCs w:val="22"/>
                <w:lang w:val="en-GB" w:eastAsia="en-US"/>
              </w:rPr>
            </w:pPr>
          </w:p>
          <w:p w:rsidR="003C1176" w:rsidRPr="00F7606D" w:rsidRDefault="003C1176" w:rsidP="00302407">
            <w:pPr>
              <w:tabs>
                <w:tab w:val="clear" w:pos="510"/>
              </w:tabs>
              <w:spacing w:line="240" w:lineRule="auto"/>
              <w:contextualSpacing/>
              <w:rPr>
                <w:b/>
                <w:i/>
                <w:szCs w:val="22"/>
                <w:lang w:val="en-GB" w:eastAsia="en-US"/>
              </w:rPr>
            </w:pPr>
            <w:r w:rsidRPr="00F7606D">
              <w:rPr>
                <w:szCs w:val="22"/>
                <w:lang w:val="en-GB"/>
              </w:rPr>
              <w:t xml:space="preserve">In 18 countries </w:t>
            </w:r>
          </w:p>
        </w:tc>
        <w:tc>
          <w:tcPr>
            <w:tcW w:w="6410" w:type="dxa"/>
          </w:tcPr>
          <w:p w:rsidR="003C1176" w:rsidRPr="00F7606D" w:rsidRDefault="003C1176" w:rsidP="00302407">
            <w:pPr>
              <w:tabs>
                <w:tab w:val="clear" w:pos="510"/>
                <w:tab w:val="left" w:pos="720"/>
              </w:tabs>
              <w:autoSpaceDE w:val="0"/>
              <w:autoSpaceDN w:val="0"/>
              <w:adjustRightInd w:val="0"/>
              <w:spacing w:line="240" w:lineRule="auto"/>
              <w:contextualSpacing/>
              <w:jc w:val="both"/>
              <w:rPr>
                <w:szCs w:val="22"/>
                <w:lang w:val="en-GB"/>
              </w:rPr>
            </w:pPr>
            <w:r w:rsidRPr="00F7606D">
              <w:rPr>
                <w:szCs w:val="22"/>
                <w:lang w:val="en-GB"/>
              </w:rPr>
              <w:t>- Laquinimod 0.6 mg capsule q.d. (n=434)[not our scope]</w:t>
            </w:r>
          </w:p>
          <w:p w:rsidR="003C1176" w:rsidRPr="00F7606D" w:rsidRDefault="003C1176" w:rsidP="00302407">
            <w:pPr>
              <w:tabs>
                <w:tab w:val="clear" w:pos="510"/>
              </w:tabs>
              <w:spacing w:line="240" w:lineRule="auto"/>
              <w:contextualSpacing/>
              <w:rPr>
                <w:szCs w:val="22"/>
                <w:lang w:val="en-GB"/>
              </w:rPr>
            </w:pPr>
            <w:r w:rsidRPr="00F7606D">
              <w:rPr>
                <w:rFonts w:eastAsiaTheme="minorHAnsi" w:cs="AdvPTimes"/>
                <w:szCs w:val="22"/>
                <w:lang w:val="en-GB" w:eastAsia="en-US"/>
              </w:rPr>
              <w:t>- Interferon beta-1a</w:t>
            </w:r>
            <w:r w:rsidRPr="00F7606D">
              <w:rPr>
                <w:szCs w:val="22"/>
                <w:lang w:val="en-GB"/>
              </w:rPr>
              <w:t xml:space="preserve"> IM 30 mcg once-weekly injection (n = 447)</w:t>
            </w:r>
          </w:p>
          <w:p w:rsidR="003C1176" w:rsidRPr="00F7606D" w:rsidRDefault="003C1176" w:rsidP="00302407">
            <w:pPr>
              <w:tabs>
                <w:tab w:val="clear" w:pos="510"/>
              </w:tabs>
              <w:spacing w:line="240" w:lineRule="auto"/>
              <w:contextualSpacing/>
              <w:rPr>
                <w:i/>
                <w:szCs w:val="22"/>
                <w:lang w:val="en-GB"/>
              </w:rPr>
            </w:pPr>
            <w:r w:rsidRPr="00F7606D">
              <w:rPr>
                <w:i/>
                <w:szCs w:val="22"/>
                <w:lang w:val="en-GB"/>
              </w:rPr>
              <w:t xml:space="preserve">- </w:t>
            </w:r>
            <w:r w:rsidRPr="00F7606D">
              <w:rPr>
                <w:rFonts w:eastAsiaTheme="minorHAnsi" w:cs="AdvP641C"/>
                <w:szCs w:val="22"/>
                <w:lang w:val="en-GB" w:eastAsia="en-US"/>
              </w:rPr>
              <w:t xml:space="preserve">Placebo (matching laquinimod) </w:t>
            </w:r>
            <w:r w:rsidRPr="00F7606D">
              <w:rPr>
                <w:szCs w:val="22"/>
                <w:lang w:val="en-GB"/>
              </w:rPr>
              <w:t>(n = 450)</w:t>
            </w:r>
          </w:p>
        </w:tc>
        <w:tc>
          <w:tcPr>
            <w:tcW w:w="1730" w:type="dxa"/>
            <w:gridSpan w:val="2"/>
          </w:tcPr>
          <w:p w:rsidR="003C1176" w:rsidRPr="00F7606D" w:rsidRDefault="003C1176" w:rsidP="00302407">
            <w:pPr>
              <w:tabs>
                <w:tab w:val="clear" w:pos="510"/>
              </w:tabs>
              <w:spacing w:line="240" w:lineRule="auto"/>
              <w:contextualSpacing/>
              <w:rPr>
                <w:szCs w:val="22"/>
                <w:lang w:val="en-GB"/>
              </w:rPr>
            </w:pPr>
            <w:r w:rsidRPr="00F7606D">
              <w:rPr>
                <w:szCs w:val="22"/>
                <w:lang w:val="en-GB"/>
              </w:rPr>
              <w:t>Mixed</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2 years</w:t>
            </w:r>
          </w:p>
        </w:tc>
      </w:tr>
      <w:tr w:rsidR="003C1176" w:rsidRPr="00F7606D" w:rsidTr="0075275D">
        <w:trPr>
          <w:trHeight w:val="173"/>
        </w:trPr>
        <w:tc>
          <w:tcPr>
            <w:tcW w:w="4046" w:type="dxa"/>
            <w:gridSpan w:val="2"/>
          </w:tcPr>
          <w:p w:rsidR="003C1176" w:rsidRDefault="003C1176" w:rsidP="00302407">
            <w:pPr>
              <w:tabs>
                <w:tab w:val="clear" w:pos="510"/>
              </w:tabs>
              <w:spacing w:line="240" w:lineRule="auto"/>
              <w:contextualSpacing/>
              <w:rPr>
                <w:b/>
                <w:i/>
                <w:szCs w:val="22"/>
                <w:lang w:val="en-GB"/>
              </w:rPr>
            </w:pPr>
            <w:r w:rsidRPr="00F7606D">
              <w:rPr>
                <w:b/>
                <w:i/>
                <w:szCs w:val="22"/>
                <w:lang w:val="en-GB"/>
              </w:rPr>
              <w:t xml:space="preserve">PRISMS (1998) </w:t>
            </w:r>
          </w:p>
          <w:p w:rsidR="00DA53AF" w:rsidRDefault="00DA53AF" w:rsidP="00302407">
            <w:pPr>
              <w:tabs>
                <w:tab w:val="clear" w:pos="510"/>
              </w:tabs>
              <w:spacing w:line="240" w:lineRule="auto"/>
              <w:contextualSpacing/>
              <w:rPr>
                <w:b/>
                <w:i/>
                <w:szCs w:val="22"/>
                <w:lang w:val="en-GB"/>
              </w:rPr>
            </w:pPr>
            <w:r w:rsidRPr="00B61623">
              <w:rPr>
                <w:color w:val="000000" w:themeColor="text1"/>
                <w:lang w:val="en-US"/>
              </w:rPr>
              <w:t xml:space="preserve">Randomised double-blind placebo-controlled study of interferon beta-1a in relapsing/remitting multiple sclerosis. PRISMS (Prevention of Relapses and Disability by Interferon beta-1a Subcutaneously in Multiple Sclerosis) Study Group. </w:t>
            </w:r>
            <w:r w:rsidRPr="00B4105F">
              <w:rPr>
                <w:color w:val="000000" w:themeColor="text1"/>
                <w:lang w:val="fr-FR"/>
              </w:rPr>
              <w:t>Lancet 1998;352(9139):1498-1504.</w:t>
            </w:r>
          </w:p>
          <w:p w:rsidR="00DA53AF" w:rsidRPr="00F7606D" w:rsidRDefault="00DA53AF" w:rsidP="00302407">
            <w:pPr>
              <w:tabs>
                <w:tab w:val="clear" w:pos="510"/>
              </w:tabs>
              <w:spacing w:line="240" w:lineRule="auto"/>
              <w:contextualSpacing/>
              <w:rPr>
                <w:b/>
                <w:i/>
                <w:szCs w:val="22"/>
                <w:lang w:val="en-GB"/>
              </w:rPr>
            </w:pPr>
          </w:p>
          <w:p w:rsidR="003C1176" w:rsidRPr="00F7606D" w:rsidRDefault="003C1176" w:rsidP="00302407">
            <w:pPr>
              <w:tabs>
                <w:tab w:val="clear" w:pos="510"/>
              </w:tabs>
              <w:spacing w:line="240" w:lineRule="auto"/>
              <w:contextualSpacing/>
              <w:rPr>
                <w:b/>
                <w:i/>
                <w:szCs w:val="22"/>
                <w:lang w:val="en-GB" w:eastAsia="en-US"/>
              </w:rPr>
            </w:pPr>
            <w:r w:rsidRPr="00F7606D">
              <w:rPr>
                <w:szCs w:val="22"/>
                <w:lang w:val="en-GB"/>
              </w:rPr>
              <w:t>Double-blind, in 22 centres in 9 countries including Australia, Canada, and Europe</w:t>
            </w:r>
          </w:p>
        </w:tc>
        <w:tc>
          <w:tcPr>
            <w:tcW w:w="6410" w:type="dxa"/>
          </w:tcPr>
          <w:p w:rsidR="003C1176" w:rsidRPr="00B4105F" w:rsidRDefault="003C1176" w:rsidP="00302407">
            <w:pPr>
              <w:pStyle w:val="Default"/>
              <w:contextualSpacing/>
              <w:jc w:val="both"/>
              <w:rPr>
                <w:rFonts w:ascii="Georgia" w:hAnsi="Georgia"/>
                <w:sz w:val="22"/>
                <w:szCs w:val="22"/>
                <w:lang w:val="pt-PT"/>
              </w:rPr>
            </w:pPr>
            <w:r w:rsidRPr="00B4105F">
              <w:rPr>
                <w:rFonts w:ascii="Georgia" w:hAnsi="Georgia"/>
                <w:bCs/>
                <w:sz w:val="22"/>
                <w:szCs w:val="22"/>
                <w:lang w:val="pt-PT"/>
              </w:rPr>
              <w:t>- Interferon beta-1a 22 mcg SC t.i.w.(n=189)</w:t>
            </w:r>
          </w:p>
          <w:p w:rsidR="003C1176" w:rsidRPr="00B4105F" w:rsidRDefault="003C1176" w:rsidP="00302407">
            <w:pPr>
              <w:tabs>
                <w:tab w:val="clear" w:pos="510"/>
              </w:tabs>
              <w:spacing w:line="240" w:lineRule="auto"/>
              <w:contextualSpacing/>
              <w:rPr>
                <w:bCs/>
                <w:szCs w:val="22"/>
                <w:lang w:val="pt-PT"/>
              </w:rPr>
            </w:pPr>
            <w:r w:rsidRPr="00B4105F">
              <w:rPr>
                <w:bCs/>
                <w:szCs w:val="22"/>
                <w:lang w:val="pt-PT"/>
              </w:rPr>
              <w:t>- Interferon beta-1a 44 mcg SC t.i.w. (n=184)</w:t>
            </w:r>
          </w:p>
          <w:p w:rsidR="003C1176" w:rsidRPr="00F7606D" w:rsidRDefault="003C1176" w:rsidP="00302407">
            <w:pPr>
              <w:tabs>
                <w:tab w:val="clear" w:pos="510"/>
                <w:tab w:val="left" w:pos="720"/>
              </w:tabs>
              <w:autoSpaceDE w:val="0"/>
              <w:autoSpaceDN w:val="0"/>
              <w:adjustRightInd w:val="0"/>
              <w:spacing w:line="240" w:lineRule="auto"/>
              <w:contextualSpacing/>
              <w:jc w:val="both"/>
              <w:rPr>
                <w:szCs w:val="22"/>
                <w:lang w:val="en-GB"/>
              </w:rPr>
            </w:pPr>
            <w:r w:rsidRPr="00F7606D">
              <w:rPr>
                <w:szCs w:val="22"/>
                <w:lang w:val="en-GB"/>
              </w:rPr>
              <w:t>- Placebo (n=187)</w:t>
            </w:r>
          </w:p>
        </w:tc>
        <w:tc>
          <w:tcPr>
            <w:tcW w:w="1730" w:type="dxa"/>
            <w:gridSpan w:val="2"/>
          </w:tcPr>
          <w:p w:rsidR="003C1176" w:rsidRPr="00F7606D" w:rsidRDefault="003C1176" w:rsidP="00302407">
            <w:pPr>
              <w:tabs>
                <w:tab w:val="clear" w:pos="510"/>
              </w:tabs>
              <w:spacing w:line="240" w:lineRule="auto"/>
              <w:contextualSpacing/>
              <w:rPr>
                <w:szCs w:val="22"/>
                <w:lang w:val="en-GB"/>
              </w:rPr>
            </w:pPr>
            <w:r w:rsidRPr="00F7606D">
              <w:rPr>
                <w:rFonts w:cs="TimesNewRomanPSMT"/>
                <w:szCs w:val="22"/>
                <w:lang w:val="en-GB"/>
              </w:rPr>
              <w:t>Treatment-naive</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2 years</w:t>
            </w:r>
          </w:p>
        </w:tc>
      </w:tr>
      <w:tr w:rsidR="003C1176" w:rsidRPr="00F7606D" w:rsidTr="0075275D">
        <w:trPr>
          <w:trHeight w:val="169"/>
        </w:trPr>
        <w:tc>
          <w:tcPr>
            <w:tcW w:w="4046" w:type="dxa"/>
            <w:gridSpan w:val="2"/>
          </w:tcPr>
          <w:p w:rsidR="00DA53AF" w:rsidRDefault="003C1176" w:rsidP="00DA53AF">
            <w:pPr>
              <w:tabs>
                <w:tab w:val="clear" w:pos="510"/>
              </w:tabs>
              <w:spacing w:line="240" w:lineRule="auto"/>
              <w:contextualSpacing/>
              <w:rPr>
                <w:b/>
                <w:i/>
                <w:szCs w:val="22"/>
                <w:lang w:val="en-GB"/>
              </w:rPr>
            </w:pPr>
            <w:r w:rsidRPr="00F7606D">
              <w:rPr>
                <w:b/>
                <w:i/>
                <w:szCs w:val="22"/>
                <w:lang w:val="en-GB"/>
              </w:rPr>
              <w:t xml:space="preserve">IMPROVE (2010) </w:t>
            </w:r>
          </w:p>
          <w:p w:rsidR="00DA53AF" w:rsidRDefault="00852BF9" w:rsidP="00DA53AF">
            <w:pPr>
              <w:tabs>
                <w:tab w:val="clear" w:pos="510"/>
              </w:tabs>
              <w:spacing w:line="240" w:lineRule="auto"/>
              <w:contextualSpacing/>
              <w:rPr>
                <w:color w:val="000000" w:themeColor="text1"/>
                <w:lang w:val="en-US"/>
              </w:rPr>
            </w:pPr>
            <w:r w:rsidRPr="00B61623">
              <w:rPr>
                <w:color w:val="000000" w:themeColor="text1"/>
                <w:lang w:val="en-US"/>
              </w:rPr>
              <w:t xml:space="preserve">De Stefano N, Curtin F, Stubinski B, Blevins G, Drulovic J, Issard D, et al. Rapid benefits of a new formulation of subcutaneous interferon beta-1a in relapsing-remitting multiple sclerosis. </w:t>
            </w:r>
            <w:r w:rsidRPr="002812BC">
              <w:rPr>
                <w:color w:val="000000" w:themeColor="text1"/>
                <w:lang w:val="en-US"/>
              </w:rPr>
              <w:t>Mult Scler 2010;16(7):888-892.</w:t>
            </w:r>
          </w:p>
          <w:p w:rsidR="00852BF9" w:rsidRDefault="00852BF9" w:rsidP="00DA53AF">
            <w:pPr>
              <w:tabs>
                <w:tab w:val="clear" w:pos="510"/>
              </w:tabs>
              <w:spacing w:line="240" w:lineRule="auto"/>
              <w:contextualSpacing/>
              <w:rPr>
                <w:b/>
                <w:i/>
                <w:szCs w:val="22"/>
                <w:lang w:val="en-GB"/>
              </w:rPr>
            </w:pPr>
          </w:p>
          <w:p w:rsidR="003C1176" w:rsidRPr="00F7606D" w:rsidRDefault="003C1176" w:rsidP="00DA53AF">
            <w:pPr>
              <w:tabs>
                <w:tab w:val="clear" w:pos="510"/>
              </w:tabs>
              <w:spacing w:line="240" w:lineRule="auto"/>
              <w:contextualSpacing/>
              <w:rPr>
                <w:b/>
                <w:i/>
                <w:szCs w:val="22"/>
                <w:lang w:val="en-GB" w:eastAsia="en-US"/>
              </w:rPr>
            </w:pPr>
            <w:r w:rsidRPr="00F7606D">
              <w:rPr>
                <w:szCs w:val="22"/>
                <w:lang w:val="en-GB"/>
              </w:rPr>
              <w:t>Double-blind, multi-centre, multi-country in European countries.</w:t>
            </w:r>
          </w:p>
        </w:tc>
        <w:tc>
          <w:tcPr>
            <w:tcW w:w="6410" w:type="dxa"/>
          </w:tcPr>
          <w:p w:rsidR="003C1176" w:rsidRPr="00B4105F" w:rsidRDefault="003C1176" w:rsidP="00302407">
            <w:pPr>
              <w:tabs>
                <w:tab w:val="clear" w:pos="510"/>
              </w:tabs>
              <w:spacing w:line="240" w:lineRule="auto"/>
              <w:contextualSpacing/>
              <w:rPr>
                <w:szCs w:val="22"/>
                <w:lang w:val="pt-PT"/>
              </w:rPr>
            </w:pPr>
            <w:r w:rsidRPr="00B4105F">
              <w:rPr>
                <w:bCs/>
                <w:szCs w:val="22"/>
                <w:lang w:val="pt-PT"/>
              </w:rPr>
              <w:t xml:space="preserve">- Interferon beta-1a 44 mcg SC t.i.w. </w:t>
            </w:r>
            <w:r w:rsidRPr="00B4105F">
              <w:rPr>
                <w:szCs w:val="22"/>
                <w:lang w:val="pt-PT"/>
              </w:rPr>
              <w:t>(n = 120)</w:t>
            </w:r>
          </w:p>
          <w:p w:rsidR="003C1176" w:rsidRPr="00F7606D" w:rsidRDefault="003C1176" w:rsidP="00302407">
            <w:pPr>
              <w:tabs>
                <w:tab w:val="clear" w:pos="510"/>
                <w:tab w:val="left" w:pos="720"/>
              </w:tabs>
              <w:autoSpaceDE w:val="0"/>
              <w:autoSpaceDN w:val="0"/>
              <w:adjustRightInd w:val="0"/>
              <w:spacing w:line="240" w:lineRule="auto"/>
              <w:contextualSpacing/>
              <w:jc w:val="both"/>
              <w:rPr>
                <w:szCs w:val="22"/>
                <w:lang w:val="en-GB"/>
              </w:rPr>
            </w:pPr>
            <w:r w:rsidRPr="00F7606D">
              <w:rPr>
                <w:bCs/>
                <w:szCs w:val="22"/>
                <w:lang w:val="en-GB"/>
              </w:rPr>
              <w:t xml:space="preserve">- Placebo </w:t>
            </w:r>
            <w:r w:rsidRPr="00F7606D">
              <w:rPr>
                <w:szCs w:val="22"/>
                <w:lang w:val="en-GB"/>
              </w:rPr>
              <w:t>(n = 60)</w:t>
            </w:r>
          </w:p>
        </w:tc>
        <w:tc>
          <w:tcPr>
            <w:tcW w:w="1730" w:type="dxa"/>
            <w:gridSpan w:val="2"/>
          </w:tcPr>
          <w:p w:rsidR="003C1176" w:rsidRPr="00F7606D" w:rsidRDefault="003C1176" w:rsidP="00302407">
            <w:pPr>
              <w:tabs>
                <w:tab w:val="clear" w:pos="510"/>
              </w:tabs>
              <w:spacing w:line="240" w:lineRule="auto"/>
              <w:contextualSpacing/>
              <w:rPr>
                <w:szCs w:val="22"/>
                <w:lang w:val="en-GB"/>
              </w:rPr>
            </w:pPr>
            <w:r w:rsidRPr="00F7606D">
              <w:rPr>
                <w:szCs w:val="22"/>
                <w:lang w:val="en-GB"/>
              </w:rPr>
              <w:t>Unclear</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16 weeks</w:t>
            </w:r>
          </w:p>
        </w:tc>
      </w:tr>
      <w:tr w:rsidR="003C1176" w:rsidRPr="00F7606D" w:rsidTr="0075275D">
        <w:trPr>
          <w:trHeight w:val="177"/>
        </w:trPr>
        <w:tc>
          <w:tcPr>
            <w:tcW w:w="4046" w:type="dxa"/>
            <w:gridSpan w:val="2"/>
          </w:tcPr>
          <w:p w:rsidR="00DA53AF" w:rsidRDefault="003C1176" w:rsidP="00DA53AF">
            <w:pPr>
              <w:tabs>
                <w:tab w:val="clear" w:pos="510"/>
              </w:tabs>
              <w:spacing w:line="240" w:lineRule="auto"/>
              <w:contextualSpacing/>
              <w:rPr>
                <w:b/>
                <w:i/>
                <w:szCs w:val="22"/>
                <w:lang w:val="en-GB"/>
              </w:rPr>
            </w:pPr>
            <w:r w:rsidRPr="00F7606D">
              <w:rPr>
                <w:b/>
                <w:i/>
                <w:szCs w:val="22"/>
                <w:lang w:val="en-GB"/>
              </w:rPr>
              <w:t xml:space="preserve">IFNB-MS (1993) </w:t>
            </w:r>
          </w:p>
          <w:p w:rsidR="00DA53AF" w:rsidRDefault="00DA53AF" w:rsidP="00DA53AF">
            <w:pPr>
              <w:tabs>
                <w:tab w:val="clear" w:pos="510"/>
              </w:tabs>
              <w:spacing w:line="240" w:lineRule="auto"/>
              <w:contextualSpacing/>
              <w:rPr>
                <w:color w:val="000000" w:themeColor="text1"/>
                <w:lang w:val="en-US"/>
              </w:rPr>
            </w:pPr>
            <w:r w:rsidRPr="00B61623">
              <w:rPr>
                <w:color w:val="000000" w:themeColor="text1"/>
                <w:lang w:val="en-US"/>
              </w:rPr>
              <w:t>Interferon beta-1b is effective in relapsing-remitting multiple sclerosis. I. Clinical results of a multicenter, randomized, double-blind, placebo-controlled trial. The IFNB Multiple Sclerosis Study Group. Neurology 1993;43(4):655-661.</w:t>
            </w:r>
          </w:p>
          <w:p w:rsidR="00DA53AF" w:rsidRDefault="00DA53AF" w:rsidP="00DA53AF">
            <w:pPr>
              <w:tabs>
                <w:tab w:val="clear" w:pos="510"/>
              </w:tabs>
              <w:spacing w:line="240" w:lineRule="auto"/>
              <w:contextualSpacing/>
              <w:rPr>
                <w:b/>
                <w:i/>
                <w:szCs w:val="22"/>
                <w:lang w:val="en-GB"/>
              </w:rPr>
            </w:pPr>
          </w:p>
          <w:p w:rsidR="003C1176" w:rsidRPr="00F7606D" w:rsidRDefault="003C1176" w:rsidP="00DA53AF">
            <w:pPr>
              <w:tabs>
                <w:tab w:val="clear" w:pos="510"/>
              </w:tabs>
              <w:spacing w:line="240" w:lineRule="auto"/>
              <w:contextualSpacing/>
              <w:rPr>
                <w:b/>
                <w:i/>
                <w:szCs w:val="22"/>
                <w:lang w:val="en-GB" w:eastAsia="en-US"/>
              </w:rPr>
            </w:pPr>
            <w:r w:rsidRPr="00F7606D">
              <w:rPr>
                <w:rFonts w:eastAsiaTheme="minorHAnsi"/>
                <w:szCs w:val="22"/>
                <w:lang w:val="en-GB" w:eastAsia="en-US"/>
              </w:rPr>
              <w:t xml:space="preserve">Multi-centre </w:t>
            </w:r>
            <w:r w:rsidRPr="00F7606D">
              <w:rPr>
                <w:szCs w:val="22"/>
                <w:lang w:val="en-GB"/>
              </w:rPr>
              <w:t>Canada and the US.</w:t>
            </w:r>
          </w:p>
        </w:tc>
        <w:tc>
          <w:tcPr>
            <w:tcW w:w="6410" w:type="dxa"/>
          </w:tcPr>
          <w:p w:rsidR="003C1176" w:rsidRPr="00F7606D" w:rsidRDefault="003C1176" w:rsidP="00302407">
            <w:pPr>
              <w:pStyle w:val="Default"/>
              <w:contextualSpacing/>
              <w:jc w:val="both"/>
              <w:rPr>
                <w:rFonts w:ascii="Georgia" w:hAnsi="Georgia"/>
                <w:sz w:val="22"/>
                <w:szCs w:val="22"/>
                <w:lang w:val="en-GB"/>
              </w:rPr>
            </w:pPr>
            <w:r w:rsidRPr="00F7606D">
              <w:rPr>
                <w:rFonts w:ascii="Georgia" w:hAnsi="Georgia"/>
                <w:bCs/>
                <w:sz w:val="22"/>
                <w:szCs w:val="22"/>
                <w:lang w:val="en-GB"/>
              </w:rPr>
              <w:t xml:space="preserve">- Interferon beta-1b 250 mcg SC every other day </w:t>
            </w:r>
            <w:r w:rsidRPr="00F7606D">
              <w:rPr>
                <w:rFonts w:ascii="Georgia" w:hAnsi="Georgia"/>
                <w:sz w:val="22"/>
                <w:szCs w:val="22"/>
                <w:lang w:val="en-GB"/>
              </w:rPr>
              <w:t xml:space="preserve">(n = 124) </w:t>
            </w:r>
          </w:p>
          <w:p w:rsidR="003C1176" w:rsidRPr="00F7606D" w:rsidRDefault="003C1176" w:rsidP="00302407">
            <w:pPr>
              <w:tabs>
                <w:tab w:val="clear" w:pos="510"/>
              </w:tabs>
              <w:spacing w:line="240" w:lineRule="auto"/>
              <w:contextualSpacing/>
              <w:rPr>
                <w:bCs/>
                <w:szCs w:val="22"/>
                <w:lang w:val="en-GB"/>
              </w:rPr>
            </w:pPr>
            <w:r w:rsidRPr="00F7606D">
              <w:rPr>
                <w:bCs/>
                <w:szCs w:val="22"/>
                <w:lang w:val="en-GB"/>
              </w:rPr>
              <w:t>- Interferon beta-1b 50 mcg SC every other day (n=125)</w:t>
            </w:r>
          </w:p>
          <w:p w:rsidR="003C1176" w:rsidRPr="00F7606D" w:rsidRDefault="003C1176" w:rsidP="00302407">
            <w:pPr>
              <w:tabs>
                <w:tab w:val="clear" w:pos="510"/>
                <w:tab w:val="left" w:pos="720"/>
              </w:tabs>
              <w:autoSpaceDE w:val="0"/>
              <w:autoSpaceDN w:val="0"/>
              <w:adjustRightInd w:val="0"/>
              <w:spacing w:line="240" w:lineRule="auto"/>
              <w:contextualSpacing/>
              <w:jc w:val="both"/>
              <w:rPr>
                <w:szCs w:val="22"/>
                <w:lang w:val="en-GB"/>
              </w:rPr>
            </w:pPr>
            <w:r w:rsidRPr="00F7606D">
              <w:rPr>
                <w:bCs/>
                <w:szCs w:val="22"/>
                <w:lang w:val="en-GB"/>
              </w:rPr>
              <w:t xml:space="preserve">- Placebo </w:t>
            </w:r>
            <w:r w:rsidRPr="00F7606D">
              <w:rPr>
                <w:szCs w:val="22"/>
                <w:lang w:val="en-GB"/>
              </w:rPr>
              <w:t>(n = 123)</w:t>
            </w:r>
          </w:p>
        </w:tc>
        <w:tc>
          <w:tcPr>
            <w:tcW w:w="1730" w:type="dxa"/>
            <w:gridSpan w:val="2"/>
          </w:tcPr>
          <w:p w:rsidR="003C1176" w:rsidRPr="00F7606D" w:rsidRDefault="003C1176" w:rsidP="00302407">
            <w:pPr>
              <w:tabs>
                <w:tab w:val="clear" w:pos="510"/>
              </w:tabs>
              <w:spacing w:line="240" w:lineRule="auto"/>
              <w:contextualSpacing/>
              <w:rPr>
                <w:szCs w:val="22"/>
                <w:lang w:val="en-GB"/>
              </w:rPr>
            </w:pPr>
            <w:r w:rsidRPr="00F7606D">
              <w:rPr>
                <w:rFonts w:cs="TimesNewRomanPSMT"/>
                <w:szCs w:val="22"/>
                <w:lang w:val="en-GB"/>
              </w:rPr>
              <w:t>Treatment-naïve</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3 years</w:t>
            </w:r>
          </w:p>
        </w:tc>
      </w:tr>
      <w:tr w:rsidR="003C1176" w:rsidRPr="00F7606D" w:rsidTr="0075275D">
        <w:trPr>
          <w:trHeight w:val="173"/>
        </w:trPr>
        <w:tc>
          <w:tcPr>
            <w:tcW w:w="4046" w:type="dxa"/>
            <w:gridSpan w:val="2"/>
          </w:tcPr>
          <w:p w:rsidR="00DA53AF" w:rsidRPr="00DA53AF" w:rsidRDefault="00DA53AF" w:rsidP="00302407">
            <w:pPr>
              <w:tabs>
                <w:tab w:val="clear" w:pos="510"/>
              </w:tabs>
              <w:spacing w:line="240" w:lineRule="auto"/>
              <w:contextualSpacing/>
              <w:rPr>
                <w:b/>
                <w:i/>
                <w:szCs w:val="22"/>
                <w:lang w:val="en-GB"/>
              </w:rPr>
            </w:pPr>
            <w:r w:rsidRPr="00DA53AF">
              <w:rPr>
                <w:b/>
                <w:i/>
                <w:szCs w:val="22"/>
                <w:lang w:val="en-GB"/>
              </w:rPr>
              <w:t>Etemadifar M, Janghorbani M, Shaygannejad V. Comparison of Betaferon, Avonex, and Rebif in treatment of relapsing-remitting multiple sclerosis. Acta Neurol Scand 2006;113(5):283-287.</w:t>
            </w:r>
          </w:p>
          <w:p w:rsidR="003C1176" w:rsidRPr="00F7606D" w:rsidRDefault="00DA53AF" w:rsidP="00302407">
            <w:pPr>
              <w:tabs>
                <w:tab w:val="clear" w:pos="510"/>
              </w:tabs>
              <w:spacing w:line="240" w:lineRule="auto"/>
              <w:contextualSpacing/>
              <w:rPr>
                <w:b/>
                <w:i/>
                <w:szCs w:val="22"/>
                <w:lang w:val="en-GB"/>
              </w:rPr>
            </w:pPr>
            <w:r w:rsidRPr="00F7606D">
              <w:rPr>
                <w:b/>
                <w:i/>
                <w:szCs w:val="22"/>
                <w:lang w:val="en-GB"/>
              </w:rPr>
              <w:t xml:space="preserve"> </w:t>
            </w:r>
          </w:p>
          <w:p w:rsidR="003C1176" w:rsidRPr="00F7606D" w:rsidRDefault="003C1176" w:rsidP="00302407">
            <w:pPr>
              <w:tabs>
                <w:tab w:val="clear" w:pos="510"/>
              </w:tabs>
              <w:spacing w:line="240" w:lineRule="auto"/>
              <w:contextualSpacing/>
              <w:rPr>
                <w:b/>
                <w:i/>
                <w:szCs w:val="22"/>
                <w:lang w:val="en-GB" w:eastAsia="en-US"/>
              </w:rPr>
            </w:pPr>
            <w:r w:rsidRPr="00F7606D">
              <w:rPr>
                <w:szCs w:val="22"/>
                <w:lang w:val="en-GB"/>
              </w:rPr>
              <w:t xml:space="preserve">Rater-blinded, </w:t>
            </w:r>
            <w:r w:rsidRPr="00F7606D">
              <w:rPr>
                <w:rFonts w:eastAsiaTheme="minorHAnsi" w:cs="AdvTimes"/>
                <w:szCs w:val="22"/>
                <w:lang w:val="en-GB" w:eastAsia="en-US"/>
              </w:rPr>
              <w:t xml:space="preserve">neurology outpatient clinics </w:t>
            </w:r>
            <w:r w:rsidRPr="00F7606D">
              <w:rPr>
                <w:szCs w:val="22"/>
                <w:lang w:val="en-GB"/>
              </w:rPr>
              <w:t>in Iran</w:t>
            </w:r>
          </w:p>
        </w:tc>
        <w:tc>
          <w:tcPr>
            <w:tcW w:w="6410" w:type="dxa"/>
          </w:tcPr>
          <w:p w:rsidR="003C1176" w:rsidRPr="00F7606D" w:rsidRDefault="003C1176" w:rsidP="00302407">
            <w:pPr>
              <w:tabs>
                <w:tab w:val="clear" w:pos="510"/>
              </w:tabs>
              <w:autoSpaceDE w:val="0"/>
              <w:autoSpaceDN w:val="0"/>
              <w:adjustRightInd w:val="0"/>
              <w:spacing w:line="240" w:lineRule="auto"/>
              <w:contextualSpacing/>
              <w:jc w:val="both"/>
              <w:rPr>
                <w:rFonts w:eastAsiaTheme="minorHAnsi" w:cs="Arial"/>
                <w:bCs/>
                <w:szCs w:val="22"/>
                <w:lang w:val="en-GB" w:eastAsia="en-US"/>
              </w:rPr>
            </w:pPr>
            <w:r w:rsidRPr="00F7606D">
              <w:rPr>
                <w:rFonts w:eastAsiaTheme="minorHAnsi" w:cs="Arial"/>
                <w:bCs/>
                <w:szCs w:val="22"/>
                <w:lang w:val="en-GB" w:eastAsia="en-US"/>
              </w:rPr>
              <w:t xml:space="preserve">- Interferon beta-1b 250 mcg SC every other day </w:t>
            </w:r>
            <w:r w:rsidRPr="00F7606D">
              <w:rPr>
                <w:rFonts w:eastAsiaTheme="minorHAnsi" w:cs="Arial"/>
                <w:szCs w:val="22"/>
                <w:lang w:val="en-GB" w:eastAsia="en-US"/>
              </w:rPr>
              <w:t>(n = 30)</w:t>
            </w:r>
          </w:p>
          <w:p w:rsidR="003C1176" w:rsidRPr="00B4105F" w:rsidRDefault="003C1176" w:rsidP="00302407">
            <w:pPr>
              <w:tabs>
                <w:tab w:val="clear" w:pos="510"/>
              </w:tabs>
              <w:autoSpaceDE w:val="0"/>
              <w:autoSpaceDN w:val="0"/>
              <w:adjustRightInd w:val="0"/>
              <w:spacing w:line="240" w:lineRule="auto"/>
              <w:contextualSpacing/>
              <w:jc w:val="both"/>
              <w:rPr>
                <w:rFonts w:eastAsiaTheme="minorHAnsi" w:cs="Arial"/>
                <w:szCs w:val="22"/>
                <w:lang w:val="pt-PT" w:eastAsia="en-US"/>
              </w:rPr>
            </w:pPr>
            <w:r w:rsidRPr="00B4105F">
              <w:rPr>
                <w:rFonts w:eastAsiaTheme="minorHAnsi" w:cs="Arial"/>
                <w:bCs/>
                <w:szCs w:val="22"/>
                <w:lang w:val="pt-PT" w:eastAsia="en-US"/>
              </w:rPr>
              <w:t xml:space="preserve">- Interferon beta-1a 30 mcg IM q.w. </w:t>
            </w:r>
            <w:r w:rsidRPr="00B4105F">
              <w:rPr>
                <w:rFonts w:eastAsiaTheme="minorHAnsi" w:cs="Arial"/>
                <w:szCs w:val="22"/>
                <w:lang w:val="pt-PT" w:eastAsia="en-US"/>
              </w:rPr>
              <w:t>(n = 30)</w:t>
            </w:r>
          </w:p>
          <w:p w:rsidR="003C1176" w:rsidRPr="00B4105F" w:rsidRDefault="003C1176" w:rsidP="00302407">
            <w:pPr>
              <w:tabs>
                <w:tab w:val="clear" w:pos="510"/>
                <w:tab w:val="left" w:pos="720"/>
              </w:tabs>
              <w:autoSpaceDE w:val="0"/>
              <w:autoSpaceDN w:val="0"/>
              <w:adjustRightInd w:val="0"/>
              <w:spacing w:line="240" w:lineRule="auto"/>
              <w:contextualSpacing/>
              <w:jc w:val="both"/>
              <w:rPr>
                <w:szCs w:val="22"/>
                <w:lang w:val="pt-PT"/>
              </w:rPr>
            </w:pPr>
            <w:r w:rsidRPr="00B4105F">
              <w:rPr>
                <w:rFonts w:eastAsiaTheme="minorHAnsi" w:cs="Arial"/>
                <w:bCs/>
                <w:szCs w:val="22"/>
                <w:lang w:val="pt-PT" w:eastAsia="en-US"/>
              </w:rPr>
              <w:t xml:space="preserve">- Interferon beta-1a 44 mcg SC t.i.w. </w:t>
            </w:r>
            <w:r w:rsidRPr="00B4105F">
              <w:rPr>
                <w:rFonts w:eastAsiaTheme="minorHAnsi" w:cs="Arial"/>
                <w:szCs w:val="22"/>
                <w:lang w:val="pt-PT" w:eastAsia="en-US"/>
              </w:rPr>
              <w:t>(n = 30)</w:t>
            </w:r>
          </w:p>
        </w:tc>
        <w:tc>
          <w:tcPr>
            <w:tcW w:w="1730" w:type="dxa"/>
            <w:gridSpan w:val="2"/>
          </w:tcPr>
          <w:p w:rsidR="003C1176" w:rsidRPr="00F7606D" w:rsidRDefault="003C1176" w:rsidP="00302407">
            <w:pPr>
              <w:tabs>
                <w:tab w:val="clear" w:pos="510"/>
              </w:tabs>
              <w:spacing w:line="240" w:lineRule="auto"/>
              <w:contextualSpacing/>
              <w:rPr>
                <w:szCs w:val="22"/>
                <w:lang w:val="en-GB"/>
              </w:rPr>
            </w:pPr>
            <w:r w:rsidRPr="00F7606D">
              <w:rPr>
                <w:szCs w:val="22"/>
                <w:lang w:val="en-GB"/>
              </w:rPr>
              <w:t>Unclear</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2 years</w:t>
            </w:r>
          </w:p>
        </w:tc>
      </w:tr>
      <w:tr w:rsidR="003C1176" w:rsidRPr="00F7606D" w:rsidTr="0075275D">
        <w:trPr>
          <w:trHeight w:val="177"/>
        </w:trPr>
        <w:tc>
          <w:tcPr>
            <w:tcW w:w="4046" w:type="dxa"/>
            <w:gridSpan w:val="2"/>
          </w:tcPr>
          <w:p w:rsidR="003C1176" w:rsidRPr="00DA53AF" w:rsidRDefault="00DA53AF" w:rsidP="00302407">
            <w:pPr>
              <w:tabs>
                <w:tab w:val="clear" w:pos="510"/>
              </w:tabs>
              <w:spacing w:line="240" w:lineRule="auto"/>
              <w:contextualSpacing/>
              <w:rPr>
                <w:b/>
                <w:i/>
                <w:szCs w:val="22"/>
                <w:lang w:val="en-GB"/>
              </w:rPr>
            </w:pPr>
            <w:r w:rsidRPr="00DA53AF">
              <w:rPr>
                <w:b/>
                <w:i/>
                <w:szCs w:val="22"/>
                <w:lang w:val="en-GB"/>
              </w:rPr>
              <w:t>Kappos L, Li D, Calabresi PA, O'Connor P, Bar-Or A, Barkhof F, et al. Ocrelizumab in relapsing-remitting multiple sclerosis: a phase 2, randomised, placebo-controlled, multicentre trial. Lancet 2011;378(9805):1779-1787. doi: 1710.1016/S0140-6736(1711)61649-61648. Epub 62011 Oct 61631.</w:t>
            </w:r>
          </w:p>
          <w:p w:rsidR="00DA53AF" w:rsidRPr="00F7606D" w:rsidRDefault="00DA53AF" w:rsidP="00302407">
            <w:pPr>
              <w:tabs>
                <w:tab w:val="clear" w:pos="510"/>
              </w:tabs>
              <w:spacing w:line="240" w:lineRule="auto"/>
              <w:contextualSpacing/>
              <w:rPr>
                <w:b/>
                <w:i/>
                <w:szCs w:val="22"/>
                <w:lang w:val="en-GB"/>
              </w:rPr>
            </w:pPr>
          </w:p>
          <w:p w:rsidR="003C1176" w:rsidRPr="00F7606D" w:rsidRDefault="003C1176" w:rsidP="00302407">
            <w:pPr>
              <w:tabs>
                <w:tab w:val="clear" w:pos="510"/>
              </w:tabs>
              <w:spacing w:line="240" w:lineRule="auto"/>
              <w:contextualSpacing/>
              <w:rPr>
                <w:szCs w:val="22"/>
                <w:lang w:val="en-GB"/>
              </w:rPr>
            </w:pPr>
            <w:r w:rsidRPr="00F7606D">
              <w:rPr>
                <w:rFonts w:eastAsia="ScalaLancetPro-Bold" w:cs="ScalaLancetPro-Bold"/>
                <w:bCs/>
                <w:szCs w:val="22"/>
                <w:lang w:val="en-GB" w:eastAsia="en-US"/>
              </w:rPr>
              <w:t xml:space="preserve">79 centres in 20 countries in </w:t>
            </w:r>
            <w:r w:rsidRPr="00F7606D">
              <w:rPr>
                <w:rFonts w:eastAsia="ScalaLancetPro" w:cs="ScalaLancetPro"/>
                <w:szCs w:val="22"/>
                <w:lang w:val="en-GB" w:eastAsia="en-US"/>
              </w:rPr>
              <w:t>North America, east-central Europe, Asia, western Europe, and Latin America.</w:t>
            </w:r>
          </w:p>
        </w:tc>
        <w:tc>
          <w:tcPr>
            <w:tcW w:w="6410" w:type="dxa"/>
          </w:tcPr>
          <w:p w:rsidR="003C1176" w:rsidRPr="00F7606D" w:rsidRDefault="003C1176" w:rsidP="00302407">
            <w:pPr>
              <w:tabs>
                <w:tab w:val="clear" w:pos="510"/>
              </w:tabs>
              <w:autoSpaceDE w:val="0"/>
              <w:autoSpaceDN w:val="0"/>
              <w:adjustRightInd w:val="0"/>
              <w:spacing w:line="240" w:lineRule="auto"/>
              <w:contextualSpacing/>
              <w:jc w:val="both"/>
              <w:rPr>
                <w:rFonts w:eastAsia="Shaker2Lancet-Regular" w:cs="Shaker2Lancet-Regular"/>
                <w:szCs w:val="22"/>
                <w:lang w:val="en-GB" w:eastAsia="en-US"/>
              </w:rPr>
            </w:pPr>
            <w:r w:rsidRPr="00F7606D">
              <w:rPr>
                <w:rFonts w:eastAsia="Shaker2Lancet-Regular" w:cs="Shaker2Lancet-Regular"/>
                <w:szCs w:val="22"/>
                <w:lang w:val="en-GB" w:eastAsia="en-US"/>
              </w:rPr>
              <w:t>- Ocrelizumab 600 mg IV day 1 and 15 (n=55, not our scope)</w:t>
            </w:r>
          </w:p>
          <w:p w:rsidR="003C1176" w:rsidRPr="00F7606D" w:rsidRDefault="003C1176" w:rsidP="00302407">
            <w:pPr>
              <w:tabs>
                <w:tab w:val="clear" w:pos="510"/>
              </w:tabs>
              <w:autoSpaceDE w:val="0"/>
              <w:autoSpaceDN w:val="0"/>
              <w:adjustRightInd w:val="0"/>
              <w:spacing w:line="240" w:lineRule="auto"/>
              <w:contextualSpacing/>
              <w:jc w:val="both"/>
              <w:rPr>
                <w:rFonts w:eastAsia="Shaker2Lancet-Regular" w:cs="Shaker2Lancet-Regular"/>
                <w:szCs w:val="22"/>
                <w:lang w:val="en-GB" w:eastAsia="en-US"/>
              </w:rPr>
            </w:pPr>
            <w:r w:rsidRPr="00F7606D">
              <w:rPr>
                <w:rFonts w:eastAsia="Shaker2Lancet-Regular" w:cs="Shaker2Lancet-Regular"/>
                <w:szCs w:val="22"/>
                <w:lang w:val="en-GB" w:eastAsia="en-US"/>
              </w:rPr>
              <w:t>- Ocrelizumab 600 mg IV day 1 and 15 (n=55, not our scope)</w:t>
            </w:r>
          </w:p>
          <w:p w:rsidR="003C1176" w:rsidRPr="00B4105F" w:rsidRDefault="003C1176" w:rsidP="00302407">
            <w:pPr>
              <w:tabs>
                <w:tab w:val="clear" w:pos="510"/>
              </w:tabs>
              <w:spacing w:line="240" w:lineRule="auto"/>
              <w:contextualSpacing/>
              <w:rPr>
                <w:rFonts w:eastAsia="Shaker2Lancet-Regular" w:cs="Shaker2Lancet-Regular"/>
                <w:szCs w:val="22"/>
                <w:lang w:val="pt-PT" w:eastAsia="en-US"/>
              </w:rPr>
            </w:pPr>
            <w:r w:rsidRPr="00B4105F">
              <w:rPr>
                <w:rFonts w:eastAsia="Shaker2Lancet-Regular" w:cs="Shaker2Lancet-Regular"/>
                <w:szCs w:val="22"/>
                <w:lang w:val="pt-PT" w:eastAsia="en-US"/>
              </w:rPr>
              <w:t>- Interferon beta-1a 30 mcg IM q.d. (n=55)</w:t>
            </w:r>
          </w:p>
          <w:p w:rsidR="003C1176" w:rsidRPr="00F7606D" w:rsidRDefault="003C1176" w:rsidP="00302407">
            <w:pPr>
              <w:tabs>
                <w:tab w:val="clear" w:pos="510"/>
              </w:tabs>
              <w:spacing w:line="240" w:lineRule="auto"/>
              <w:contextualSpacing/>
              <w:rPr>
                <w:szCs w:val="22"/>
                <w:lang w:val="en-GB"/>
              </w:rPr>
            </w:pPr>
            <w:r w:rsidRPr="00F7606D">
              <w:rPr>
                <w:szCs w:val="22"/>
                <w:lang w:val="en-GB"/>
              </w:rPr>
              <w:t xml:space="preserve">- Placebo </w:t>
            </w:r>
            <w:r w:rsidRPr="00F7606D">
              <w:rPr>
                <w:rFonts w:eastAsia="Shaker2Lancet-Regular" w:cs="Shaker2Lancet-Regular"/>
                <w:szCs w:val="22"/>
                <w:lang w:val="en-GB" w:eastAsia="en-US"/>
              </w:rPr>
              <w:t>(n=54)</w:t>
            </w:r>
          </w:p>
        </w:tc>
        <w:tc>
          <w:tcPr>
            <w:tcW w:w="1730" w:type="dxa"/>
            <w:gridSpan w:val="2"/>
          </w:tcPr>
          <w:p w:rsidR="003C1176" w:rsidRPr="00F7606D" w:rsidRDefault="003C1176" w:rsidP="00302407">
            <w:pPr>
              <w:tabs>
                <w:tab w:val="clear" w:pos="510"/>
              </w:tabs>
              <w:spacing w:line="240" w:lineRule="auto"/>
              <w:contextualSpacing/>
              <w:rPr>
                <w:szCs w:val="22"/>
                <w:lang w:val="en-GB"/>
              </w:rPr>
            </w:pPr>
            <w:r w:rsidRPr="00F7606D">
              <w:rPr>
                <w:szCs w:val="22"/>
                <w:lang w:val="en-GB"/>
              </w:rPr>
              <w:t>Mixed</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24 weeks</w:t>
            </w:r>
          </w:p>
        </w:tc>
      </w:tr>
      <w:tr w:rsidR="003C1176" w:rsidRPr="00F7606D" w:rsidTr="0075275D">
        <w:trPr>
          <w:trHeight w:val="173"/>
        </w:trPr>
        <w:tc>
          <w:tcPr>
            <w:tcW w:w="4046" w:type="dxa"/>
            <w:gridSpan w:val="2"/>
          </w:tcPr>
          <w:p w:rsidR="00DA53AF" w:rsidRPr="00DA53AF" w:rsidRDefault="00DA53AF" w:rsidP="00302407">
            <w:pPr>
              <w:tabs>
                <w:tab w:val="clear" w:pos="510"/>
              </w:tabs>
              <w:spacing w:line="240" w:lineRule="auto"/>
              <w:contextualSpacing/>
              <w:rPr>
                <w:b/>
                <w:i/>
                <w:szCs w:val="22"/>
                <w:lang w:val="en-GB" w:eastAsia="en-US"/>
              </w:rPr>
            </w:pPr>
            <w:r w:rsidRPr="00DA53AF">
              <w:rPr>
                <w:b/>
                <w:i/>
                <w:szCs w:val="22"/>
                <w:lang w:val="en-GB" w:eastAsia="en-US"/>
              </w:rPr>
              <w:t>Mokhber N, Azarpazhooh A, Orouji E, Rao SM, Khorram B, Sahraian MA, et al. Cognitive dysfunction in patients with multiple sclerosis treated with different types of interferon beta: A randomized clinical trial. J Neurol Sci 2014;342(1-2):16-20.</w:t>
            </w:r>
          </w:p>
          <w:p w:rsidR="00DA53AF" w:rsidRPr="00F7606D" w:rsidRDefault="00DA53AF" w:rsidP="00302407">
            <w:pPr>
              <w:tabs>
                <w:tab w:val="clear" w:pos="510"/>
              </w:tabs>
              <w:spacing w:line="240" w:lineRule="auto"/>
              <w:contextualSpacing/>
              <w:rPr>
                <w:rFonts w:eastAsiaTheme="minorHAnsi"/>
                <w:b/>
                <w:i/>
                <w:szCs w:val="22"/>
                <w:lang w:val="en-GB" w:eastAsia="en-US"/>
              </w:rPr>
            </w:pPr>
          </w:p>
          <w:p w:rsidR="003C1176" w:rsidRPr="00F7606D" w:rsidRDefault="003C1176" w:rsidP="00302407">
            <w:pPr>
              <w:tabs>
                <w:tab w:val="clear" w:pos="510"/>
              </w:tabs>
              <w:spacing w:line="240" w:lineRule="auto"/>
              <w:contextualSpacing/>
              <w:rPr>
                <w:rFonts w:eastAsiaTheme="minorHAnsi"/>
                <w:b/>
                <w:i/>
                <w:szCs w:val="22"/>
                <w:lang w:val="en-GB" w:eastAsia="en-US"/>
              </w:rPr>
            </w:pPr>
            <w:r w:rsidRPr="00F7606D">
              <w:rPr>
                <w:rFonts w:eastAsiaTheme="minorHAnsi"/>
                <w:b/>
                <w:i/>
                <w:szCs w:val="22"/>
                <w:lang w:val="en-GB" w:eastAsia="en-US"/>
              </w:rPr>
              <w:t>S</w:t>
            </w:r>
            <w:r w:rsidRPr="00F7606D">
              <w:rPr>
                <w:rFonts w:eastAsiaTheme="minorHAnsi"/>
                <w:szCs w:val="22"/>
                <w:lang w:val="en-GB" w:eastAsia="en-US"/>
              </w:rPr>
              <w:t>ingle center in Iran</w:t>
            </w:r>
          </w:p>
        </w:tc>
        <w:tc>
          <w:tcPr>
            <w:tcW w:w="6410" w:type="dxa"/>
          </w:tcPr>
          <w:p w:rsidR="003C1176" w:rsidRPr="00F7606D" w:rsidRDefault="003C1176" w:rsidP="00302407">
            <w:pPr>
              <w:tabs>
                <w:tab w:val="clear" w:pos="510"/>
              </w:tabs>
              <w:autoSpaceDE w:val="0"/>
              <w:autoSpaceDN w:val="0"/>
              <w:adjustRightInd w:val="0"/>
              <w:spacing w:line="240" w:lineRule="auto"/>
              <w:contextualSpacing/>
              <w:jc w:val="both"/>
              <w:rPr>
                <w:rFonts w:eastAsiaTheme="minorHAnsi" w:cs="AdvTT5235d5a9"/>
                <w:color w:val="000000" w:themeColor="text1"/>
                <w:szCs w:val="22"/>
                <w:lang w:val="en-GB" w:eastAsia="en-US"/>
              </w:rPr>
            </w:pPr>
            <w:r w:rsidRPr="00F7606D">
              <w:rPr>
                <w:rFonts w:cs="Arial"/>
                <w:color w:val="000000" w:themeColor="text1"/>
                <w:szCs w:val="22"/>
                <w:shd w:val="clear" w:color="auto" w:fill="FFFFFF"/>
                <w:lang w:val="en-GB"/>
              </w:rPr>
              <w:t xml:space="preserve">- Interferon beta-1a </w:t>
            </w:r>
            <w:r w:rsidRPr="00F7606D">
              <w:rPr>
                <w:rFonts w:eastAsiaTheme="minorHAnsi" w:cs="AdvP641C"/>
                <w:color w:val="000000" w:themeColor="text1"/>
                <w:szCs w:val="22"/>
                <w:lang w:val="en-GB" w:eastAsia="en-US"/>
              </w:rPr>
              <w:t>(Avonex )</w:t>
            </w:r>
            <w:r w:rsidRPr="00F7606D">
              <w:rPr>
                <w:rFonts w:cs="Arial"/>
                <w:color w:val="000000" w:themeColor="text1"/>
                <w:szCs w:val="22"/>
                <w:shd w:val="clear" w:color="auto" w:fill="FFFFFF"/>
                <w:lang w:val="en-GB"/>
              </w:rPr>
              <w:t xml:space="preserve"> </w:t>
            </w:r>
            <w:r w:rsidRPr="00F7606D">
              <w:rPr>
                <w:rFonts w:eastAsiaTheme="minorHAnsi" w:cs="AdvTT5235d5a9"/>
                <w:color w:val="000000" w:themeColor="text1"/>
                <w:szCs w:val="22"/>
                <w:lang w:val="en-GB" w:eastAsia="en-US"/>
              </w:rPr>
              <w:t>30 mcg once per week IM injection;</w:t>
            </w:r>
            <w:r w:rsidRPr="00F7606D">
              <w:rPr>
                <w:rFonts w:eastAsiaTheme="minorHAnsi" w:cs="AdvP641C"/>
                <w:color w:val="000000" w:themeColor="text1"/>
                <w:szCs w:val="22"/>
                <w:lang w:val="en-GB" w:eastAsia="en-US"/>
              </w:rPr>
              <w:t xml:space="preserve"> (n=23)</w:t>
            </w:r>
          </w:p>
          <w:p w:rsidR="003C1176" w:rsidRPr="00F7606D" w:rsidRDefault="003C1176" w:rsidP="00302407">
            <w:pPr>
              <w:tabs>
                <w:tab w:val="clear" w:pos="510"/>
              </w:tabs>
              <w:autoSpaceDE w:val="0"/>
              <w:autoSpaceDN w:val="0"/>
              <w:adjustRightInd w:val="0"/>
              <w:spacing w:line="240" w:lineRule="auto"/>
              <w:contextualSpacing/>
              <w:jc w:val="both"/>
              <w:rPr>
                <w:rFonts w:eastAsiaTheme="minorHAnsi" w:cs="AdvTT5235d5a9"/>
                <w:color w:val="000000" w:themeColor="text1"/>
                <w:szCs w:val="22"/>
                <w:lang w:val="en-GB" w:eastAsia="en-US"/>
              </w:rPr>
            </w:pPr>
            <w:r w:rsidRPr="00F7606D">
              <w:rPr>
                <w:rFonts w:cs="Arial"/>
                <w:color w:val="000000" w:themeColor="text1"/>
                <w:szCs w:val="22"/>
                <w:shd w:val="clear" w:color="auto" w:fill="FFFFFF"/>
                <w:lang w:val="en-GB"/>
              </w:rPr>
              <w:t xml:space="preserve">- Interferon beta-1a </w:t>
            </w:r>
            <w:r w:rsidRPr="00F7606D">
              <w:rPr>
                <w:rFonts w:eastAsiaTheme="minorHAnsi" w:cs="AdvP641C"/>
                <w:color w:val="000000" w:themeColor="text1"/>
                <w:szCs w:val="22"/>
                <w:lang w:val="en-GB" w:eastAsia="en-US"/>
              </w:rPr>
              <w:t xml:space="preserve">(Rebif) </w:t>
            </w:r>
            <w:r w:rsidRPr="00F7606D">
              <w:rPr>
                <w:rFonts w:eastAsiaTheme="minorHAnsi" w:cs="AdvTT5235d5a9"/>
                <w:color w:val="000000" w:themeColor="text1"/>
                <w:szCs w:val="22"/>
                <w:lang w:val="en-GB" w:eastAsia="en-US"/>
              </w:rPr>
              <w:t xml:space="preserve">44 mcg </w:t>
            </w:r>
            <w:r w:rsidRPr="00F7606D">
              <w:rPr>
                <w:color w:val="000000" w:themeColor="text1"/>
                <w:szCs w:val="22"/>
                <w:lang w:val="en-GB"/>
              </w:rPr>
              <w:t>t.i.w.</w:t>
            </w:r>
            <w:r w:rsidRPr="00F7606D">
              <w:rPr>
                <w:rFonts w:eastAsiaTheme="minorHAnsi" w:cs="AdvTT5235d5a9"/>
                <w:color w:val="000000" w:themeColor="text1"/>
                <w:szCs w:val="22"/>
                <w:lang w:val="en-GB" w:eastAsia="en-US"/>
              </w:rPr>
              <w:t xml:space="preserve"> SC injection;</w:t>
            </w:r>
            <w:r w:rsidRPr="00F7606D">
              <w:rPr>
                <w:rFonts w:eastAsiaTheme="minorHAnsi" w:cs="AdvP641C"/>
                <w:color w:val="000000" w:themeColor="text1"/>
                <w:szCs w:val="22"/>
                <w:lang w:val="en-GB" w:eastAsia="en-US"/>
              </w:rPr>
              <w:t xml:space="preserve"> (n=23)</w:t>
            </w:r>
          </w:p>
          <w:p w:rsidR="003C1176" w:rsidRPr="00F7606D" w:rsidRDefault="003C1176" w:rsidP="00302407">
            <w:pPr>
              <w:tabs>
                <w:tab w:val="clear" w:pos="510"/>
              </w:tabs>
              <w:spacing w:line="240" w:lineRule="auto"/>
              <w:contextualSpacing/>
              <w:rPr>
                <w:rFonts w:eastAsiaTheme="minorHAnsi" w:cs="AdvP641C"/>
                <w:szCs w:val="22"/>
                <w:lang w:val="en-GB" w:eastAsia="en-US"/>
              </w:rPr>
            </w:pPr>
            <w:r w:rsidRPr="00F7606D">
              <w:rPr>
                <w:rFonts w:cs="Arial"/>
                <w:color w:val="000000" w:themeColor="text1"/>
                <w:szCs w:val="22"/>
                <w:shd w:val="clear" w:color="auto" w:fill="FFFFFF"/>
                <w:lang w:val="en-GB"/>
              </w:rPr>
              <w:t xml:space="preserve">- Interferon beta-1a (Betaferon) </w:t>
            </w:r>
            <w:r w:rsidRPr="00F7606D">
              <w:rPr>
                <w:rFonts w:eastAsiaTheme="minorHAnsi" w:cs="AdvTT5235d5a9"/>
                <w:szCs w:val="22"/>
                <w:lang w:val="en-GB" w:eastAsia="en-US"/>
              </w:rPr>
              <w:t>0.25 mg every other day SC injection</w:t>
            </w:r>
            <w:r w:rsidRPr="00F7606D">
              <w:rPr>
                <w:rFonts w:eastAsiaTheme="minorHAnsi" w:cs="AdvP641C"/>
                <w:szCs w:val="22"/>
                <w:lang w:val="en-GB" w:eastAsia="en-US"/>
              </w:rPr>
              <w:t xml:space="preserve"> (n=23)</w:t>
            </w:r>
          </w:p>
        </w:tc>
        <w:tc>
          <w:tcPr>
            <w:tcW w:w="1730" w:type="dxa"/>
            <w:gridSpan w:val="2"/>
          </w:tcPr>
          <w:p w:rsidR="003C1176" w:rsidRPr="00F7606D" w:rsidRDefault="003C1176" w:rsidP="00302407">
            <w:pPr>
              <w:tabs>
                <w:tab w:val="clear" w:pos="510"/>
              </w:tabs>
              <w:spacing w:line="240" w:lineRule="auto"/>
              <w:contextualSpacing/>
              <w:rPr>
                <w:szCs w:val="22"/>
                <w:lang w:val="en-GB"/>
              </w:rPr>
            </w:pPr>
            <w:r w:rsidRPr="00F7606D">
              <w:rPr>
                <w:rFonts w:cs="TimesNewRomanPSMT"/>
                <w:szCs w:val="22"/>
                <w:lang w:val="en-GB"/>
              </w:rPr>
              <w:t>Treatment-naive</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1 year</w:t>
            </w:r>
          </w:p>
        </w:tc>
      </w:tr>
      <w:tr w:rsidR="003C1176" w:rsidRPr="00F7606D" w:rsidTr="0075275D">
        <w:trPr>
          <w:trHeight w:val="231"/>
        </w:trPr>
        <w:tc>
          <w:tcPr>
            <w:tcW w:w="4046" w:type="dxa"/>
            <w:gridSpan w:val="2"/>
          </w:tcPr>
          <w:p w:rsidR="003C1176" w:rsidRDefault="003C1176" w:rsidP="00302407">
            <w:pPr>
              <w:tabs>
                <w:tab w:val="clear" w:pos="510"/>
              </w:tabs>
              <w:spacing w:line="240" w:lineRule="auto"/>
              <w:contextualSpacing/>
              <w:rPr>
                <w:b/>
                <w:i/>
                <w:szCs w:val="22"/>
                <w:lang w:val="en-GB" w:eastAsia="en-US"/>
              </w:rPr>
            </w:pPr>
            <w:r w:rsidRPr="00F7606D">
              <w:rPr>
                <w:b/>
                <w:i/>
                <w:szCs w:val="22"/>
                <w:lang w:val="en-GB" w:eastAsia="en-US"/>
              </w:rPr>
              <w:t xml:space="preserve">BRAVO (2014) </w:t>
            </w:r>
          </w:p>
          <w:p w:rsidR="00DA53AF" w:rsidRDefault="00DA53AF" w:rsidP="00302407">
            <w:pPr>
              <w:tabs>
                <w:tab w:val="clear" w:pos="510"/>
              </w:tabs>
              <w:spacing w:line="240" w:lineRule="auto"/>
              <w:contextualSpacing/>
              <w:rPr>
                <w:b/>
                <w:i/>
                <w:szCs w:val="22"/>
                <w:lang w:val="en-GB" w:eastAsia="en-US"/>
              </w:rPr>
            </w:pPr>
            <w:r w:rsidRPr="00B62BC7">
              <w:rPr>
                <w:color w:val="000000" w:themeColor="text1"/>
              </w:rPr>
              <w:t xml:space="preserve">Vollmer TL, Sorensen PS, Selmaj K, Zipp F, Havrdova E, Cohen JA, et al. </w:t>
            </w:r>
            <w:r w:rsidRPr="00B61623">
              <w:rPr>
                <w:color w:val="000000" w:themeColor="text1"/>
                <w:lang w:val="en-US"/>
              </w:rPr>
              <w:t>A randomized placebo-controlled phase III trial of oral laquinimod for multiple sclerosis. J Neurol 2014;261(4):773-783.</w:t>
            </w:r>
          </w:p>
          <w:p w:rsidR="00DA53AF" w:rsidRPr="00F7606D" w:rsidRDefault="00DA53AF" w:rsidP="00302407">
            <w:pPr>
              <w:tabs>
                <w:tab w:val="clear" w:pos="510"/>
              </w:tabs>
              <w:spacing w:line="240" w:lineRule="auto"/>
              <w:contextualSpacing/>
              <w:rPr>
                <w:b/>
                <w:i/>
                <w:szCs w:val="22"/>
                <w:lang w:val="en-GB" w:eastAsia="en-US"/>
              </w:rPr>
            </w:pPr>
          </w:p>
          <w:p w:rsidR="003C1176" w:rsidRPr="00F7606D" w:rsidRDefault="003C1176" w:rsidP="00302407">
            <w:pPr>
              <w:tabs>
                <w:tab w:val="clear" w:pos="510"/>
              </w:tabs>
              <w:spacing w:line="240" w:lineRule="auto"/>
              <w:contextualSpacing/>
              <w:rPr>
                <w:b/>
                <w:i/>
                <w:szCs w:val="22"/>
                <w:lang w:val="en-GB" w:eastAsia="en-US"/>
              </w:rPr>
            </w:pPr>
            <w:r w:rsidRPr="00F7606D">
              <w:rPr>
                <w:szCs w:val="22"/>
                <w:lang w:val="en-GB"/>
              </w:rPr>
              <w:t xml:space="preserve">In 18 countries </w:t>
            </w:r>
          </w:p>
        </w:tc>
        <w:tc>
          <w:tcPr>
            <w:tcW w:w="6410" w:type="dxa"/>
          </w:tcPr>
          <w:p w:rsidR="003C1176" w:rsidRPr="00F7606D" w:rsidRDefault="003C1176" w:rsidP="00302407">
            <w:pPr>
              <w:tabs>
                <w:tab w:val="clear" w:pos="510"/>
                <w:tab w:val="left" w:pos="720"/>
              </w:tabs>
              <w:autoSpaceDE w:val="0"/>
              <w:autoSpaceDN w:val="0"/>
              <w:adjustRightInd w:val="0"/>
              <w:spacing w:line="240" w:lineRule="auto"/>
              <w:contextualSpacing/>
              <w:jc w:val="both"/>
              <w:rPr>
                <w:szCs w:val="22"/>
                <w:lang w:val="en-GB"/>
              </w:rPr>
            </w:pPr>
            <w:r w:rsidRPr="00F7606D">
              <w:rPr>
                <w:szCs w:val="22"/>
                <w:lang w:val="en-GB"/>
              </w:rPr>
              <w:t>- Laquinimod 0.6 mg capsule q.d. (n=434)[not our scope]</w:t>
            </w:r>
          </w:p>
          <w:p w:rsidR="003C1176" w:rsidRPr="00F7606D" w:rsidRDefault="003C1176" w:rsidP="00302407">
            <w:pPr>
              <w:tabs>
                <w:tab w:val="clear" w:pos="510"/>
              </w:tabs>
              <w:spacing w:line="240" w:lineRule="auto"/>
              <w:contextualSpacing/>
              <w:rPr>
                <w:szCs w:val="22"/>
                <w:lang w:val="en-GB"/>
              </w:rPr>
            </w:pPr>
            <w:r w:rsidRPr="00F7606D">
              <w:rPr>
                <w:rFonts w:eastAsiaTheme="minorHAnsi" w:cs="AdvPTimes"/>
                <w:szCs w:val="22"/>
                <w:lang w:val="en-GB" w:eastAsia="en-US"/>
              </w:rPr>
              <w:t>- Interferon beta-1a</w:t>
            </w:r>
            <w:r w:rsidRPr="00F7606D">
              <w:rPr>
                <w:szCs w:val="22"/>
                <w:lang w:val="en-GB"/>
              </w:rPr>
              <w:t xml:space="preserve"> IM 30 mcg once-weekly injection (n = 447)</w:t>
            </w:r>
          </w:p>
          <w:p w:rsidR="003C1176" w:rsidRPr="00F7606D" w:rsidRDefault="003C1176" w:rsidP="00302407">
            <w:pPr>
              <w:tabs>
                <w:tab w:val="clear" w:pos="510"/>
              </w:tabs>
              <w:spacing w:line="240" w:lineRule="auto"/>
              <w:contextualSpacing/>
              <w:rPr>
                <w:i/>
                <w:szCs w:val="22"/>
                <w:lang w:val="en-GB"/>
              </w:rPr>
            </w:pPr>
            <w:r w:rsidRPr="00F7606D">
              <w:rPr>
                <w:i/>
                <w:szCs w:val="22"/>
                <w:lang w:val="en-GB"/>
              </w:rPr>
              <w:t xml:space="preserve">- </w:t>
            </w:r>
            <w:r w:rsidRPr="00F7606D">
              <w:rPr>
                <w:rFonts w:eastAsiaTheme="minorHAnsi" w:cs="AdvP641C"/>
                <w:szCs w:val="22"/>
                <w:lang w:val="en-GB" w:eastAsia="en-US"/>
              </w:rPr>
              <w:t xml:space="preserve">Placebo (matching laquinimod) </w:t>
            </w:r>
            <w:r w:rsidRPr="00F7606D">
              <w:rPr>
                <w:szCs w:val="22"/>
                <w:lang w:val="en-GB"/>
              </w:rPr>
              <w:t>(n = 450)</w:t>
            </w:r>
          </w:p>
        </w:tc>
        <w:tc>
          <w:tcPr>
            <w:tcW w:w="1730" w:type="dxa"/>
            <w:gridSpan w:val="2"/>
          </w:tcPr>
          <w:p w:rsidR="003C1176" w:rsidRPr="00F7606D" w:rsidRDefault="003C1176" w:rsidP="00302407">
            <w:pPr>
              <w:tabs>
                <w:tab w:val="clear" w:pos="510"/>
              </w:tabs>
              <w:spacing w:line="240" w:lineRule="auto"/>
              <w:contextualSpacing/>
              <w:rPr>
                <w:szCs w:val="22"/>
                <w:lang w:val="en-GB"/>
              </w:rPr>
            </w:pPr>
            <w:r w:rsidRPr="00F7606D">
              <w:rPr>
                <w:szCs w:val="22"/>
                <w:lang w:val="en-GB"/>
              </w:rPr>
              <w:t>Mixed</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2 years</w:t>
            </w:r>
          </w:p>
        </w:tc>
      </w:tr>
      <w:tr w:rsidR="003C1176" w:rsidRPr="00F7606D" w:rsidTr="0075275D">
        <w:trPr>
          <w:trHeight w:val="169"/>
        </w:trPr>
        <w:tc>
          <w:tcPr>
            <w:tcW w:w="4046" w:type="dxa"/>
            <w:gridSpan w:val="2"/>
          </w:tcPr>
          <w:p w:rsidR="003C1176" w:rsidRDefault="003C1176" w:rsidP="00302407">
            <w:pPr>
              <w:tabs>
                <w:tab w:val="clear" w:pos="510"/>
              </w:tabs>
              <w:spacing w:line="240" w:lineRule="auto"/>
              <w:contextualSpacing/>
              <w:rPr>
                <w:b/>
                <w:i/>
                <w:szCs w:val="22"/>
                <w:lang w:val="en-GB"/>
              </w:rPr>
            </w:pPr>
            <w:r w:rsidRPr="00F7606D">
              <w:rPr>
                <w:b/>
                <w:i/>
                <w:szCs w:val="22"/>
                <w:lang w:val="en-GB"/>
              </w:rPr>
              <w:t xml:space="preserve">PRISMS (1998) </w:t>
            </w:r>
          </w:p>
          <w:p w:rsidR="00DA53AF" w:rsidRPr="00DA53AF" w:rsidRDefault="00DA53AF" w:rsidP="00302407">
            <w:pPr>
              <w:tabs>
                <w:tab w:val="clear" w:pos="510"/>
              </w:tabs>
              <w:spacing w:line="240" w:lineRule="auto"/>
              <w:contextualSpacing/>
              <w:rPr>
                <w:szCs w:val="22"/>
                <w:lang w:val="en-GB"/>
              </w:rPr>
            </w:pPr>
            <w:r w:rsidRPr="00DA53AF">
              <w:rPr>
                <w:szCs w:val="22"/>
                <w:lang w:val="en-GB"/>
              </w:rPr>
              <w:t>Randomised double-blind placebo-controlled study of interferon beta-1a in relapsing/remitting multiple sclerosis. PRISMS (Prevention of Relapses and Disability by Interferon beta-1a Subcutaneously in Multiple Sclerosis) Study Group. Lancet 1998;352(9139):1498-1504.</w:t>
            </w:r>
          </w:p>
          <w:p w:rsidR="00DA53AF" w:rsidRPr="00F7606D" w:rsidRDefault="00DA53AF" w:rsidP="00302407">
            <w:pPr>
              <w:tabs>
                <w:tab w:val="clear" w:pos="510"/>
              </w:tabs>
              <w:spacing w:line="240" w:lineRule="auto"/>
              <w:contextualSpacing/>
              <w:rPr>
                <w:b/>
                <w:i/>
                <w:szCs w:val="22"/>
                <w:lang w:val="en-GB"/>
              </w:rPr>
            </w:pPr>
          </w:p>
          <w:p w:rsidR="003C1176" w:rsidRPr="00F7606D" w:rsidRDefault="003C1176" w:rsidP="00302407">
            <w:pPr>
              <w:tabs>
                <w:tab w:val="clear" w:pos="510"/>
              </w:tabs>
              <w:spacing w:line="240" w:lineRule="auto"/>
              <w:contextualSpacing/>
              <w:rPr>
                <w:b/>
                <w:i/>
                <w:szCs w:val="22"/>
                <w:lang w:val="en-GB" w:eastAsia="en-US"/>
              </w:rPr>
            </w:pPr>
            <w:r w:rsidRPr="00F7606D">
              <w:rPr>
                <w:szCs w:val="22"/>
                <w:lang w:val="en-GB"/>
              </w:rPr>
              <w:t>Double-blind, in 22 centres in 9 countries including Australia, Canada, and Europe</w:t>
            </w:r>
          </w:p>
        </w:tc>
        <w:tc>
          <w:tcPr>
            <w:tcW w:w="6410" w:type="dxa"/>
          </w:tcPr>
          <w:p w:rsidR="003C1176" w:rsidRPr="00B4105F" w:rsidRDefault="003C1176" w:rsidP="00302407">
            <w:pPr>
              <w:pStyle w:val="Default"/>
              <w:contextualSpacing/>
              <w:jc w:val="both"/>
              <w:rPr>
                <w:rFonts w:ascii="Georgia" w:hAnsi="Georgia"/>
                <w:sz w:val="22"/>
                <w:szCs w:val="22"/>
                <w:lang w:val="pt-PT"/>
              </w:rPr>
            </w:pPr>
            <w:r w:rsidRPr="00B4105F">
              <w:rPr>
                <w:rFonts w:ascii="Georgia" w:hAnsi="Georgia"/>
                <w:bCs/>
                <w:sz w:val="22"/>
                <w:szCs w:val="22"/>
                <w:lang w:val="pt-PT"/>
              </w:rPr>
              <w:t>- Interferon beta-1a 22 mcg SC t.i.w.(n=189)</w:t>
            </w:r>
          </w:p>
          <w:p w:rsidR="003C1176" w:rsidRPr="00B4105F" w:rsidRDefault="003C1176" w:rsidP="00302407">
            <w:pPr>
              <w:tabs>
                <w:tab w:val="clear" w:pos="510"/>
              </w:tabs>
              <w:spacing w:line="240" w:lineRule="auto"/>
              <w:contextualSpacing/>
              <w:rPr>
                <w:bCs/>
                <w:szCs w:val="22"/>
                <w:lang w:val="pt-PT"/>
              </w:rPr>
            </w:pPr>
            <w:r w:rsidRPr="00B4105F">
              <w:rPr>
                <w:bCs/>
                <w:szCs w:val="22"/>
                <w:lang w:val="pt-PT"/>
              </w:rPr>
              <w:t>- Interferon beta-1a 44 mcg SC t.i.w. (n=184)</w:t>
            </w:r>
          </w:p>
          <w:p w:rsidR="003C1176" w:rsidRPr="00F7606D" w:rsidRDefault="003C1176" w:rsidP="00302407">
            <w:pPr>
              <w:tabs>
                <w:tab w:val="clear" w:pos="510"/>
                <w:tab w:val="left" w:pos="720"/>
              </w:tabs>
              <w:autoSpaceDE w:val="0"/>
              <w:autoSpaceDN w:val="0"/>
              <w:adjustRightInd w:val="0"/>
              <w:spacing w:line="240" w:lineRule="auto"/>
              <w:contextualSpacing/>
              <w:jc w:val="both"/>
              <w:rPr>
                <w:szCs w:val="22"/>
                <w:lang w:val="en-GB"/>
              </w:rPr>
            </w:pPr>
            <w:r w:rsidRPr="00F7606D">
              <w:rPr>
                <w:szCs w:val="22"/>
                <w:lang w:val="en-GB"/>
              </w:rPr>
              <w:t>- Placebo (n=187)</w:t>
            </w:r>
          </w:p>
        </w:tc>
        <w:tc>
          <w:tcPr>
            <w:tcW w:w="1730" w:type="dxa"/>
            <w:gridSpan w:val="2"/>
          </w:tcPr>
          <w:p w:rsidR="003C1176" w:rsidRPr="00F7606D" w:rsidRDefault="003C1176" w:rsidP="00302407">
            <w:pPr>
              <w:tabs>
                <w:tab w:val="clear" w:pos="510"/>
              </w:tabs>
              <w:spacing w:line="240" w:lineRule="auto"/>
              <w:contextualSpacing/>
              <w:rPr>
                <w:szCs w:val="22"/>
                <w:lang w:val="en-GB"/>
              </w:rPr>
            </w:pPr>
            <w:r w:rsidRPr="00F7606D">
              <w:rPr>
                <w:rFonts w:cs="TimesNewRomanPSMT"/>
                <w:szCs w:val="22"/>
                <w:lang w:val="en-GB"/>
              </w:rPr>
              <w:t>Treatment-naive</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2 years</w:t>
            </w:r>
          </w:p>
        </w:tc>
      </w:tr>
      <w:tr w:rsidR="003C1176" w:rsidRPr="00F7606D" w:rsidTr="0075275D">
        <w:trPr>
          <w:trHeight w:val="177"/>
        </w:trPr>
        <w:tc>
          <w:tcPr>
            <w:tcW w:w="4046" w:type="dxa"/>
            <w:gridSpan w:val="2"/>
            <w:tcBorders>
              <w:bottom w:val="single" w:sz="4" w:space="0" w:color="auto"/>
            </w:tcBorders>
          </w:tcPr>
          <w:p w:rsidR="003C1176" w:rsidRDefault="003C1176" w:rsidP="00302407">
            <w:pPr>
              <w:tabs>
                <w:tab w:val="clear" w:pos="510"/>
              </w:tabs>
              <w:spacing w:line="240" w:lineRule="auto"/>
              <w:contextualSpacing/>
              <w:rPr>
                <w:b/>
                <w:i/>
                <w:szCs w:val="22"/>
                <w:lang w:val="en-GB"/>
              </w:rPr>
            </w:pPr>
            <w:r w:rsidRPr="00F7606D">
              <w:rPr>
                <w:b/>
                <w:i/>
                <w:szCs w:val="22"/>
                <w:lang w:val="en-GB"/>
              </w:rPr>
              <w:t xml:space="preserve">IMPROVE (2010) </w:t>
            </w:r>
          </w:p>
          <w:p w:rsidR="00DA53AF" w:rsidRPr="00DA53AF" w:rsidRDefault="00DA53AF" w:rsidP="00302407">
            <w:pPr>
              <w:tabs>
                <w:tab w:val="clear" w:pos="510"/>
              </w:tabs>
              <w:spacing w:line="240" w:lineRule="auto"/>
              <w:contextualSpacing/>
              <w:rPr>
                <w:szCs w:val="22"/>
                <w:lang w:val="en-GB"/>
              </w:rPr>
            </w:pPr>
            <w:r w:rsidRPr="00DA53AF">
              <w:rPr>
                <w:szCs w:val="22"/>
                <w:lang w:val="en-GB"/>
              </w:rPr>
              <w:t>De Stefano N, Stromillo ML, Giorgio A, Bartolozzi ML, Battaglini M, Baldini M, et al. Establishing pathological cut-offs of brain atrophy rates in multiple sclerosis. J Neurol Neurosurg Psychiatry 2015;22(309903):2014-</w:t>
            </w:r>
          </w:p>
          <w:p w:rsidR="00DA53AF" w:rsidRPr="00F7606D" w:rsidRDefault="00DA53AF" w:rsidP="00302407">
            <w:pPr>
              <w:tabs>
                <w:tab w:val="clear" w:pos="510"/>
              </w:tabs>
              <w:spacing w:line="240" w:lineRule="auto"/>
              <w:contextualSpacing/>
              <w:rPr>
                <w:b/>
                <w:i/>
                <w:szCs w:val="22"/>
                <w:lang w:val="en-GB"/>
              </w:rPr>
            </w:pPr>
          </w:p>
          <w:p w:rsidR="003C1176" w:rsidRPr="00F7606D" w:rsidRDefault="003C1176" w:rsidP="00302407">
            <w:pPr>
              <w:tabs>
                <w:tab w:val="clear" w:pos="510"/>
              </w:tabs>
              <w:spacing w:line="240" w:lineRule="auto"/>
              <w:contextualSpacing/>
              <w:rPr>
                <w:b/>
                <w:i/>
                <w:szCs w:val="22"/>
                <w:lang w:val="en-GB" w:eastAsia="en-US"/>
              </w:rPr>
            </w:pPr>
            <w:r w:rsidRPr="00F7606D">
              <w:rPr>
                <w:szCs w:val="22"/>
                <w:lang w:val="en-GB"/>
              </w:rPr>
              <w:t>Double-blind, multi-centre, multi-country in European countries.</w:t>
            </w:r>
          </w:p>
        </w:tc>
        <w:tc>
          <w:tcPr>
            <w:tcW w:w="6410" w:type="dxa"/>
            <w:tcBorders>
              <w:bottom w:val="single" w:sz="4" w:space="0" w:color="auto"/>
            </w:tcBorders>
          </w:tcPr>
          <w:p w:rsidR="003C1176" w:rsidRPr="00B4105F" w:rsidRDefault="003C1176" w:rsidP="00302407">
            <w:pPr>
              <w:tabs>
                <w:tab w:val="clear" w:pos="510"/>
              </w:tabs>
              <w:spacing w:line="240" w:lineRule="auto"/>
              <w:contextualSpacing/>
              <w:rPr>
                <w:szCs w:val="22"/>
                <w:lang w:val="pt-PT"/>
              </w:rPr>
            </w:pPr>
            <w:r w:rsidRPr="00B4105F">
              <w:rPr>
                <w:bCs/>
                <w:szCs w:val="22"/>
                <w:lang w:val="pt-PT"/>
              </w:rPr>
              <w:t xml:space="preserve">- Interferon beta-1a 44 mcg SC t.i.w. </w:t>
            </w:r>
            <w:r w:rsidRPr="00B4105F">
              <w:rPr>
                <w:szCs w:val="22"/>
                <w:lang w:val="pt-PT"/>
              </w:rPr>
              <w:t>(n = 120)</w:t>
            </w:r>
          </w:p>
          <w:p w:rsidR="003C1176" w:rsidRPr="00F7606D" w:rsidRDefault="003C1176" w:rsidP="00302407">
            <w:pPr>
              <w:tabs>
                <w:tab w:val="clear" w:pos="510"/>
                <w:tab w:val="left" w:pos="720"/>
              </w:tabs>
              <w:autoSpaceDE w:val="0"/>
              <w:autoSpaceDN w:val="0"/>
              <w:adjustRightInd w:val="0"/>
              <w:spacing w:line="240" w:lineRule="auto"/>
              <w:contextualSpacing/>
              <w:jc w:val="both"/>
              <w:rPr>
                <w:szCs w:val="22"/>
                <w:lang w:val="en-GB"/>
              </w:rPr>
            </w:pPr>
            <w:r w:rsidRPr="00F7606D">
              <w:rPr>
                <w:bCs/>
                <w:szCs w:val="22"/>
                <w:lang w:val="en-GB"/>
              </w:rPr>
              <w:t xml:space="preserve">- Placebo </w:t>
            </w:r>
            <w:r w:rsidRPr="00F7606D">
              <w:rPr>
                <w:szCs w:val="22"/>
                <w:lang w:val="en-GB"/>
              </w:rPr>
              <w:t>(n = 60)</w:t>
            </w:r>
          </w:p>
        </w:tc>
        <w:tc>
          <w:tcPr>
            <w:tcW w:w="1730" w:type="dxa"/>
            <w:gridSpan w:val="2"/>
            <w:tcBorders>
              <w:bottom w:val="single" w:sz="4" w:space="0" w:color="auto"/>
            </w:tcBorders>
          </w:tcPr>
          <w:p w:rsidR="003C1176" w:rsidRPr="00F7606D" w:rsidRDefault="003C1176" w:rsidP="00302407">
            <w:pPr>
              <w:tabs>
                <w:tab w:val="clear" w:pos="510"/>
              </w:tabs>
              <w:spacing w:line="240" w:lineRule="auto"/>
              <w:contextualSpacing/>
              <w:rPr>
                <w:szCs w:val="22"/>
                <w:lang w:val="en-GB"/>
              </w:rPr>
            </w:pPr>
            <w:r w:rsidRPr="00F7606D">
              <w:rPr>
                <w:szCs w:val="22"/>
                <w:lang w:val="en-GB"/>
              </w:rPr>
              <w:t>Unclear</w:t>
            </w:r>
          </w:p>
        </w:tc>
        <w:tc>
          <w:tcPr>
            <w:tcW w:w="1417" w:type="dxa"/>
            <w:tcBorders>
              <w:bottom w:val="single" w:sz="4" w:space="0" w:color="auto"/>
            </w:tcBorders>
          </w:tcPr>
          <w:p w:rsidR="003C1176" w:rsidRPr="00F7606D" w:rsidRDefault="003C1176" w:rsidP="00302407">
            <w:pPr>
              <w:tabs>
                <w:tab w:val="clear" w:pos="510"/>
              </w:tabs>
              <w:spacing w:line="240" w:lineRule="auto"/>
              <w:contextualSpacing/>
              <w:rPr>
                <w:szCs w:val="22"/>
                <w:lang w:val="en-GB"/>
              </w:rPr>
            </w:pPr>
            <w:r w:rsidRPr="00F7606D">
              <w:rPr>
                <w:szCs w:val="22"/>
                <w:lang w:val="en-GB"/>
              </w:rPr>
              <w:t>16 weeks</w:t>
            </w:r>
          </w:p>
        </w:tc>
      </w:tr>
      <w:tr w:rsidR="00E3070E" w:rsidRPr="00F7606D" w:rsidTr="0075275D">
        <w:trPr>
          <w:trHeight w:val="177"/>
        </w:trPr>
        <w:tc>
          <w:tcPr>
            <w:tcW w:w="4046" w:type="dxa"/>
            <w:gridSpan w:val="2"/>
          </w:tcPr>
          <w:p w:rsidR="003C1176" w:rsidRDefault="003C1176" w:rsidP="00302407">
            <w:pPr>
              <w:tabs>
                <w:tab w:val="clear" w:pos="510"/>
              </w:tabs>
              <w:spacing w:line="240" w:lineRule="auto"/>
              <w:contextualSpacing/>
              <w:rPr>
                <w:b/>
                <w:i/>
                <w:szCs w:val="22"/>
                <w:lang w:val="en-GB"/>
              </w:rPr>
            </w:pPr>
            <w:r w:rsidRPr="00F7606D">
              <w:rPr>
                <w:b/>
                <w:i/>
                <w:szCs w:val="22"/>
                <w:lang w:val="en-GB"/>
              </w:rPr>
              <w:t xml:space="preserve">IFNB-MS (1993) </w:t>
            </w:r>
          </w:p>
          <w:p w:rsidR="00DA53AF" w:rsidRDefault="00DA53AF" w:rsidP="00302407">
            <w:pPr>
              <w:tabs>
                <w:tab w:val="clear" w:pos="510"/>
              </w:tabs>
              <w:spacing w:line="240" w:lineRule="auto"/>
              <w:contextualSpacing/>
              <w:rPr>
                <w:b/>
                <w:i/>
                <w:szCs w:val="22"/>
                <w:lang w:val="en-GB"/>
              </w:rPr>
            </w:pPr>
            <w:r w:rsidRPr="00B61623">
              <w:rPr>
                <w:color w:val="000000" w:themeColor="text1"/>
                <w:lang w:val="en-US"/>
              </w:rPr>
              <w:t>Interferon beta-1b is effective in relapsing-remitting multiple sclerosis. I. Clinical results of a multicenter, randomized, double-blind, placebo-controlled trial. The IFNB Multiple Sclerosis Study Group. Neurology 1993;43(4):655-661.</w:t>
            </w:r>
          </w:p>
          <w:p w:rsidR="00DA53AF" w:rsidRPr="00F7606D" w:rsidRDefault="00DA53AF" w:rsidP="00302407">
            <w:pPr>
              <w:tabs>
                <w:tab w:val="clear" w:pos="510"/>
              </w:tabs>
              <w:spacing w:line="240" w:lineRule="auto"/>
              <w:contextualSpacing/>
              <w:rPr>
                <w:b/>
                <w:i/>
                <w:szCs w:val="22"/>
                <w:lang w:val="en-GB"/>
              </w:rPr>
            </w:pPr>
          </w:p>
          <w:p w:rsidR="003C1176" w:rsidRPr="00F7606D" w:rsidRDefault="003C1176" w:rsidP="00302407">
            <w:pPr>
              <w:tabs>
                <w:tab w:val="clear" w:pos="510"/>
              </w:tabs>
              <w:spacing w:line="240" w:lineRule="auto"/>
              <w:contextualSpacing/>
              <w:rPr>
                <w:b/>
                <w:i/>
                <w:szCs w:val="22"/>
                <w:lang w:val="en-GB" w:eastAsia="en-US"/>
              </w:rPr>
            </w:pPr>
            <w:r w:rsidRPr="00F7606D">
              <w:rPr>
                <w:rFonts w:eastAsiaTheme="minorHAnsi"/>
                <w:szCs w:val="22"/>
                <w:lang w:val="en-GB" w:eastAsia="en-US"/>
              </w:rPr>
              <w:t xml:space="preserve">Multi-centre </w:t>
            </w:r>
            <w:r w:rsidRPr="00F7606D">
              <w:rPr>
                <w:szCs w:val="22"/>
                <w:lang w:val="en-GB"/>
              </w:rPr>
              <w:t>Canada and the US.</w:t>
            </w:r>
          </w:p>
        </w:tc>
        <w:tc>
          <w:tcPr>
            <w:tcW w:w="6410" w:type="dxa"/>
          </w:tcPr>
          <w:p w:rsidR="003C1176" w:rsidRPr="00F7606D" w:rsidRDefault="003C1176" w:rsidP="00302407">
            <w:pPr>
              <w:pStyle w:val="Default"/>
              <w:contextualSpacing/>
              <w:jc w:val="both"/>
              <w:rPr>
                <w:rFonts w:ascii="Georgia" w:hAnsi="Georgia"/>
                <w:sz w:val="22"/>
                <w:szCs w:val="22"/>
                <w:lang w:val="en-GB"/>
              </w:rPr>
            </w:pPr>
            <w:r w:rsidRPr="00F7606D">
              <w:rPr>
                <w:rFonts w:ascii="Georgia" w:hAnsi="Georgia"/>
                <w:bCs/>
                <w:sz w:val="22"/>
                <w:szCs w:val="22"/>
                <w:lang w:val="en-GB"/>
              </w:rPr>
              <w:t xml:space="preserve">- Interferon beta-1b 250 mcg SC every other day </w:t>
            </w:r>
            <w:r w:rsidRPr="00F7606D">
              <w:rPr>
                <w:rFonts w:ascii="Georgia" w:hAnsi="Georgia"/>
                <w:sz w:val="22"/>
                <w:szCs w:val="22"/>
                <w:lang w:val="en-GB"/>
              </w:rPr>
              <w:t xml:space="preserve">(n = 124) </w:t>
            </w:r>
          </w:p>
          <w:p w:rsidR="003C1176" w:rsidRPr="00F7606D" w:rsidRDefault="003C1176" w:rsidP="00302407">
            <w:pPr>
              <w:tabs>
                <w:tab w:val="clear" w:pos="510"/>
              </w:tabs>
              <w:spacing w:line="240" w:lineRule="auto"/>
              <w:contextualSpacing/>
              <w:rPr>
                <w:bCs/>
                <w:szCs w:val="22"/>
                <w:lang w:val="en-GB"/>
              </w:rPr>
            </w:pPr>
            <w:r w:rsidRPr="00F7606D">
              <w:rPr>
                <w:bCs/>
                <w:szCs w:val="22"/>
                <w:lang w:val="en-GB"/>
              </w:rPr>
              <w:t>- Interferon beta-1b 50 mcg SC every other day (n=125)</w:t>
            </w:r>
          </w:p>
          <w:p w:rsidR="003C1176" w:rsidRPr="00F7606D" w:rsidRDefault="003C1176" w:rsidP="00302407">
            <w:pPr>
              <w:tabs>
                <w:tab w:val="clear" w:pos="510"/>
                <w:tab w:val="left" w:pos="720"/>
              </w:tabs>
              <w:autoSpaceDE w:val="0"/>
              <w:autoSpaceDN w:val="0"/>
              <w:adjustRightInd w:val="0"/>
              <w:spacing w:line="240" w:lineRule="auto"/>
              <w:contextualSpacing/>
              <w:jc w:val="both"/>
              <w:rPr>
                <w:szCs w:val="22"/>
                <w:lang w:val="en-GB"/>
              </w:rPr>
            </w:pPr>
            <w:r w:rsidRPr="00F7606D">
              <w:rPr>
                <w:bCs/>
                <w:szCs w:val="22"/>
                <w:lang w:val="en-GB"/>
              </w:rPr>
              <w:t xml:space="preserve">- Placebo </w:t>
            </w:r>
            <w:r w:rsidRPr="00F7606D">
              <w:rPr>
                <w:szCs w:val="22"/>
                <w:lang w:val="en-GB"/>
              </w:rPr>
              <w:t>(n = 123)</w:t>
            </w:r>
          </w:p>
        </w:tc>
        <w:tc>
          <w:tcPr>
            <w:tcW w:w="1730" w:type="dxa"/>
            <w:gridSpan w:val="2"/>
          </w:tcPr>
          <w:p w:rsidR="003C1176" w:rsidRPr="00F7606D" w:rsidRDefault="003C1176" w:rsidP="00302407">
            <w:pPr>
              <w:tabs>
                <w:tab w:val="clear" w:pos="510"/>
              </w:tabs>
              <w:spacing w:line="240" w:lineRule="auto"/>
              <w:contextualSpacing/>
              <w:rPr>
                <w:szCs w:val="22"/>
                <w:lang w:val="en-GB"/>
              </w:rPr>
            </w:pPr>
            <w:r w:rsidRPr="00F7606D">
              <w:rPr>
                <w:rFonts w:cs="TimesNewRomanPSMT"/>
                <w:szCs w:val="22"/>
                <w:lang w:val="en-GB"/>
              </w:rPr>
              <w:t>Treatment-naïve</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3 years</w:t>
            </w:r>
          </w:p>
        </w:tc>
      </w:tr>
      <w:tr w:rsidR="00E3070E" w:rsidRPr="00F7606D" w:rsidTr="0075275D">
        <w:trPr>
          <w:trHeight w:val="169"/>
        </w:trPr>
        <w:tc>
          <w:tcPr>
            <w:tcW w:w="4046" w:type="dxa"/>
            <w:gridSpan w:val="2"/>
          </w:tcPr>
          <w:p w:rsidR="00DA53AF" w:rsidRDefault="003C1176" w:rsidP="00302407">
            <w:pPr>
              <w:tabs>
                <w:tab w:val="clear" w:pos="510"/>
              </w:tabs>
              <w:spacing w:line="240" w:lineRule="auto"/>
              <w:contextualSpacing/>
              <w:rPr>
                <w:b/>
                <w:i/>
                <w:szCs w:val="22"/>
                <w:lang w:val="en-GB"/>
              </w:rPr>
            </w:pPr>
            <w:r w:rsidRPr="00F7606D">
              <w:rPr>
                <w:b/>
                <w:i/>
                <w:szCs w:val="22"/>
                <w:lang w:val="en-GB"/>
              </w:rPr>
              <w:t>Etemadifar et al. (2006)</w:t>
            </w:r>
          </w:p>
          <w:p w:rsidR="00DA53AF" w:rsidRDefault="00DA53AF" w:rsidP="00302407">
            <w:pPr>
              <w:tabs>
                <w:tab w:val="clear" w:pos="510"/>
              </w:tabs>
              <w:spacing w:line="240" w:lineRule="auto"/>
              <w:contextualSpacing/>
              <w:rPr>
                <w:b/>
                <w:i/>
                <w:szCs w:val="22"/>
                <w:lang w:val="en-GB"/>
              </w:rPr>
            </w:pPr>
            <w:r w:rsidRPr="00B61623">
              <w:rPr>
                <w:color w:val="000000" w:themeColor="text1"/>
                <w:lang w:val="en-US"/>
              </w:rPr>
              <w:t>Etemadifar M, Janghorbani M, Shaygannejad V. Comparison of Betaferon, Avonex, and Rebif in treatment of relapsing-remitting multiple sclerosis. Acta Neurol Scand 2006;113(5):283-287.</w:t>
            </w:r>
          </w:p>
          <w:p w:rsidR="003C1176" w:rsidRPr="00F7606D" w:rsidRDefault="00DA53AF" w:rsidP="00302407">
            <w:pPr>
              <w:tabs>
                <w:tab w:val="clear" w:pos="510"/>
              </w:tabs>
              <w:spacing w:line="240" w:lineRule="auto"/>
              <w:contextualSpacing/>
              <w:rPr>
                <w:b/>
                <w:i/>
                <w:szCs w:val="22"/>
                <w:lang w:val="en-GB"/>
              </w:rPr>
            </w:pPr>
            <w:r w:rsidRPr="00F7606D">
              <w:rPr>
                <w:b/>
                <w:i/>
                <w:szCs w:val="22"/>
                <w:lang w:val="en-GB"/>
              </w:rPr>
              <w:t xml:space="preserve"> </w:t>
            </w:r>
          </w:p>
          <w:p w:rsidR="003C1176" w:rsidRPr="00F7606D" w:rsidRDefault="003C1176" w:rsidP="00302407">
            <w:pPr>
              <w:tabs>
                <w:tab w:val="clear" w:pos="510"/>
              </w:tabs>
              <w:spacing w:line="240" w:lineRule="auto"/>
              <w:contextualSpacing/>
              <w:rPr>
                <w:b/>
                <w:i/>
                <w:szCs w:val="22"/>
                <w:lang w:val="en-GB" w:eastAsia="en-US"/>
              </w:rPr>
            </w:pPr>
            <w:r w:rsidRPr="00F7606D">
              <w:rPr>
                <w:szCs w:val="22"/>
                <w:lang w:val="en-GB"/>
              </w:rPr>
              <w:t xml:space="preserve">Rater-blinded, </w:t>
            </w:r>
            <w:r w:rsidRPr="00F7606D">
              <w:rPr>
                <w:rFonts w:eastAsiaTheme="minorHAnsi" w:cs="AdvTimes"/>
                <w:szCs w:val="22"/>
                <w:lang w:val="en-GB" w:eastAsia="en-US"/>
              </w:rPr>
              <w:t xml:space="preserve">neurology outpatient clinics </w:t>
            </w:r>
            <w:r w:rsidRPr="00F7606D">
              <w:rPr>
                <w:szCs w:val="22"/>
                <w:lang w:val="en-GB"/>
              </w:rPr>
              <w:t>in Iran</w:t>
            </w:r>
          </w:p>
        </w:tc>
        <w:tc>
          <w:tcPr>
            <w:tcW w:w="6410" w:type="dxa"/>
          </w:tcPr>
          <w:p w:rsidR="003C1176" w:rsidRPr="00F7606D" w:rsidRDefault="003C1176" w:rsidP="00302407">
            <w:pPr>
              <w:tabs>
                <w:tab w:val="clear" w:pos="510"/>
              </w:tabs>
              <w:autoSpaceDE w:val="0"/>
              <w:autoSpaceDN w:val="0"/>
              <w:adjustRightInd w:val="0"/>
              <w:spacing w:line="240" w:lineRule="auto"/>
              <w:contextualSpacing/>
              <w:jc w:val="both"/>
              <w:rPr>
                <w:rFonts w:eastAsiaTheme="minorHAnsi" w:cs="Arial"/>
                <w:bCs/>
                <w:szCs w:val="22"/>
                <w:lang w:val="en-GB" w:eastAsia="en-US"/>
              </w:rPr>
            </w:pPr>
            <w:r w:rsidRPr="00F7606D">
              <w:rPr>
                <w:rFonts w:eastAsiaTheme="minorHAnsi" w:cs="Arial"/>
                <w:bCs/>
                <w:szCs w:val="22"/>
                <w:lang w:val="en-GB" w:eastAsia="en-US"/>
              </w:rPr>
              <w:t xml:space="preserve">- Interferon beta-1b 250 mcg SC every other day </w:t>
            </w:r>
            <w:r w:rsidRPr="00F7606D">
              <w:rPr>
                <w:rFonts w:eastAsiaTheme="minorHAnsi" w:cs="Arial"/>
                <w:szCs w:val="22"/>
                <w:lang w:val="en-GB" w:eastAsia="en-US"/>
              </w:rPr>
              <w:t>(n = 30)</w:t>
            </w:r>
          </w:p>
          <w:p w:rsidR="003C1176" w:rsidRPr="00B4105F" w:rsidRDefault="003C1176" w:rsidP="00302407">
            <w:pPr>
              <w:tabs>
                <w:tab w:val="clear" w:pos="510"/>
              </w:tabs>
              <w:autoSpaceDE w:val="0"/>
              <w:autoSpaceDN w:val="0"/>
              <w:adjustRightInd w:val="0"/>
              <w:spacing w:line="240" w:lineRule="auto"/>
              <w:contextualSpacing/>
              <w:jc w:val="both"/>
              <w:rPr>
                <w:rFonts w:eastAsiaTheme="minorHAnsi" w:cs="Arial"/>
                <w:szCs w:val="22"/>
                <w:lang w:val="pt-PT" w:eastAsia="en-US"/>
              </w:rPr>
            </w:pPr>
            <w:r w:rsidRPr="00B4105F">
              <w:rPr>
                <w:rFonts w:eastAsiaTheme="minorHAnsi" w:cs="Arial"/>
                <w:bCs/>
                <w:szCs w:val="22"/>
                <w:lang w:val="pt-PT" w:eastAsia="en-US"/>
              </w:rPr>
              <w:t xml:space="preserve">- Interferon beta-1a 30 mcg IM q.w. </w:t>
            </w:r>
            <w:r w:rsidRPr="00B4105F">
              <w:rPr>
                <w:rFonts w:eastAsiaTheme="minorHAnsi" w:cs="Arial"/>
                <w:szCs w:val="22"/>
                <w:lang w:val="pt-PT" w:eastAsia="en-US"/>
              </w:rPr>
              <w:t>(n = 30)</w:t>
            </w:r>
          </w:p>
          <w:p w:rsidR="003C1176" w:rsidRPr="00B4105F" w:rsidRDefault="003C1176" w:rsidP="00302407">
            <w:pPr>
              <w:tabs>
                <w:tab w:val="clear" w:pos="510"/>
                <w:tab w:val="left" w:pos="720"/>
              </w:tabs>
              <w:autoSpaceDE w:val="0"/>
              <w:autoSpaceDN w:val="0"/>
              <w:adjustRightInd w:val="0"/>
              <w:spacing w:line="240" w:lineRule="auto"/>
              <w:contextualSpacing/>
              <w:jc w:val="both"/>
              <w:rPr>
                <w:szCs w:val="22"/>
                <w:lang w:val="pt-PT"/>
              </w:rPr>
            </w:pPr>
            <w:r w:rsidRPr="00B4105F">
              <w:rPr>
                <w:rFonts w:eastAsiaTheme="minorHAnsi" w:cs="Arial"/>
                <w:bCs/>
                <w:szCs w:val="22"/>
                <w:lang w:val="pt-PT" w:eastAsia="en-US"/>
              </w:rPr>
              <w:t xml:space="preserve">- Interferon beta-1a 44 mcg SC t.i.w. </w:t>
            </w:r>
            <w:r w:rsidRPr="00B4105F">
              <w:rPr>
                <w:rFonts w:eastAsiaTheme="minorHAnsi" w:cs="Arial"/>
                <w:szCs w:val="22"/>
                <w:lang w:val="pt-PT" w:eastAsia="en-US"/>
              </w:rPr>
              <w:t>(n = 30)</w:t>
            </w:r>
          </w:p>
        </w:tc>
        <w:tc>
          <w:tcPr>
            <w:tcW w:w="1730" w:type="dxa"/>
            <w:gridSpan w:val="2"/>
          </w:tcPr>
          <w:p w:rsidR="003C1176" w:rsidRPr="00F7606D" w:rsidRDefault="003C1176" w:rsidP="00302407">
            <w:pPr>
              <w:tabs>
                <w:tab w:val="clear" w:pos="510"/>
              </w:tabs>
              <w:spacing w:line="240" w:lineRule="auto"/>
              <w:contextualSpacing/>
              <w:rPr>
                <w:szCs w:val="22"/>
                <w:lang w:val="en-GB"/>
              </w:rPr>
            </w:pPr>
            <w:r w:rsidRPr="00F7606D">
              <w:rPr>
                <w:szCs w:val="22"/>
                <w:lang w:val="en-GB"/>
              </w:rPr>
              <w:t>Unclear</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2 years</w:t>
            </w:r>
          </w:p>
        </w:tc>
      </w:tr>
      <w:tr w:rsidR="00E3070E" w:rsidRPr="00F7606D" w:rsidTr="0075275D">
        <w:trPr>
          <w:trHeight w:val="177"/>
        </w:trPr>
        <w:tc>
          <w:tcPr>
            <w:tcW w:w="4046" w:type="dxa"/>
            <w:gridSpan w:val="2"/>
          </w:tcPr>
          <w:p w:rsidR="003C1176" w:rsidRDefault="003C1176" w:rsidP="00302407">
            <w:pPr>
              <w:tabs>
                <w:tab w:val="clear" w:pos="510"/>
              </w:tabs>
              <w:spacing w:line="240" w:lineRule="auto"/>
              <w:contextualSpacing/>
              <w:rPr>
                <w:b/>
                <w:i/>
                <w:szCs w:val="22"/>
                <w:lang w:val="en-GB"/>
              </w:rPr>
            </w:pPr>
            <w:r w:rsidRPr="00F7606D">
              <w:rPr>
                <w:b/>
                <w:i/>
                <w:szCs w:val="22"/>
                <w:lang w:val="en-GB"/>
              </w:rPr>
              <w:t xml:space="preserve">ADVANCE study(2014) </w:t>
            </w:r>
          </w:p>
          <w:p w:rsidR="00DA53AF" w:rsidRDefault="00DA53AF" w:rsidP="00302407">
            <w:pPr>
              <w:tabs>
                <w:tab w:val="clear" w:pos="510"/>
              </w:tabs>
              <w:spacing w:line="240" w:lineRule="auto"/>
              <w:contextualSpacing/>
              <w:rPr>
                <w:b/>
                <w:i/>
                <w:szCs w:val="22"/>
                <w:lang w:val="en-GB"/>
              </w:rPr>
            </w:pPr>
            <w:r w:rsidRPr="00B61623">
              <w:rPr>
                <w:color w:val="000000" w:themeColor="text1"/>
                <w:lang w:val="en-US"/>
              </w:rPr>
              <w:t>Calabresi PA, Kieseier BC, Arnold DL, Balcer LJ, Boyko A, Pelletier J, et al. Pegylated interferon beta-1a for relapsing-remitting multiple sclerosis (ADVANCE): A randomised, phase 3, double-blind study. The Lancet Neurology 2014;13(7):657-665.</w:t>
            </w:r>
          </w:p>
          <w:p w:rsidR="00DA53AF" w:rsidRPr="00F7606D" w:rsidRDefault="00DA53AF" w:rsidP="00302407">
            <w:pPr>
              <w:tabs>
                <w:tab w:val="clear" w:pos="510"/>
              </w:tabs>
              <w:spacing w:line="240" w:lineRule="auto"/>
              <w:contextualSpacing/>
              <w:rPr>
                <w:b/>
                <w:i/>
                <w:szCs w:val="22"/>
                <w:lang w:val="en-GB"/>
              </w:rPr>
            </w:pPr>
          </w:p>
          <w:p w:rsidR="003C1176" w:rsidRPr="00F7606D" w:rsidRDefault="003C1176" w:rsidP="00302407">
            <w:pPr>
              <w:tabs>
                <w:tab w:val="clear" w:pos="510"/>
              </w:tabs>
              <w:spacing w:line="240" w:lineRule="auto"/>
              <w:contextualSpacing/>
              <w:rPr>
                <w:b/>
                <w:i/>
                <w:szCs w:val="22"/>
                <w:highlight w:val="yellow"/>
                <w:lang w:val="en-GB"/>
              </w:rPr>
            </w:pPr>
            <w:r w:rsidRPr="00F7606D">
              <w:rPr>
                <w:rFonts w:eastAsia="ScalaLancetPro-Bold" w:cs="Segoe UI"/>
                <w:bCs/>
                <w:szCs w:val="22"/>
                <w:lang w:val="en-GB" w:eastAsia="en-US"/>
              </w:rPr>
              <w:t>Double-blind, in 26 countries, in north/south America, Europe, India</w:t>
            </w:r>
          </w:p>
        </w:tc>
        <w:tc>
          <w:tcPr>
            <w:tcW w:w="6410" w:type="dxa"/>
          </w:tcPr>
          <w:p w:rsidR="003C1176" w:rsidRPr="00F7606D" w:rsidRDefault="003C1176" w:rsidP="00302407">
            <w:pPr>
              <w:tabs>
                <w:tab w:val="clear" w:pos="510"/>
              </w:tabs>
              <w:autoSpaceDE w:val="0"/>
              <w:autoSpaceDN w:val="0"/>
              <w:adjustRightInd w:val="0"/>
              <w:spacing w:line="240" w:lineRule="auto"/>
              <w:contextualSpacing/>
              <w:jc w:val="both"/>
              <w:rPr>
                <w:rFonts w:eastAsia="ScalaLancetPro" w:cs="Segoe UI"/>
                <w:szCs w:val="22"/>
                <w:lang w:val="en-GB" w:eastAsia="en-US"/>
              </w:rPr>
            </w:pPr>
            <w:r w:rsidRPr="00F7606D">
              <w:rPr>
                <w:rFonts w:eastAsia="ScalaLancetPro" w:cs="Segoe UI"/>
                <w:szCs w:val="22"/>
                <w:lang w:val="en-GB" w:eastAsia="en-US"/>
              </w:rPr>
              <w:t>- Peg-interferon beta-1a 125 mcg SC once every 2 weeks (n=512)</w:t>
            </w:r>
          </w:p>
          <w:p w:rsidR="003C1176" w:rsidRPr="00F7606D" w:rsidRDefault="003C1176" w:rsidP="00302407">
            <w:pPr>
              <w:tabs>
                <w:tab w:val="clear" w:pos="510"/>
              </w:tabs>
              <w:autoSpaceDE w:val="0"/>
              <w:autoSpaceDN w:val="0"/>
              <w:adjustRightInd w:val="0"/>
              <w:spacing w:line="240" w:lineRule="auto"/>
              <w:contextualSpacing/>
              <w:jc w:val="both"/>
              <w:rPr>
                <w:rFonts w:eastAsia="ScalaLancetPro" w:cs="Segoe UI"/>
                <w:szCs w:val="22"/>
                <w:lang w:val="en-GB"/>
              </w:rPr>
            </w:pPr>
            <w:r w:rsidRPr="00F7606D">
              <w:rPr>
                <w:rFonts w:eastAsia="ScalaLancetPro" w:cs="Segoe UI"/>
                <w:szCs w:val="22"/>
                <w:lang w:val="en-GB"/>
              </w:rPr>
              <w:t>- Peg-interferon beta-1a 125 mcg SC once every 4 weeks (n=500)</w:t>
            </w:r>
          </w:p>
          <w:p w:rsidR="003C1176" w:rsidRPr="00F7606D" w:rsidRDefault="003C1176" w:rsidP="00302407">
            <w:pPr>
              <w:tabs>
                <w:tab w:val="clear" w:pos="510"/>
              </w:tabs>
              <w:autoSpaceDE w:val="0"/>
              <w:autoSpaceDN w:val="0"/>
              <w:adjustRightInd w:val="0"/>
              <w:spacing w:line="240" w:lineRule="auto"/>
              <w:contextualSpacing/>
              <w:jc w:val="both"/>
              <w:rPr>
                <w:rFonts w:eastAsiaTheme="minorHAnsi" w:cs="Arial"/>
                <w:bCs/>
                <w:szCs w:val="22"/>
                <w:lang w:val="en-GB" w:eastAsia="en-US"/>
              </w:rPr>
            </w:pPr>
            <w:r w:rsidRPr="00F7606D">
              <w:rPr>
                <w:rFonts w:cs="Segoe UI"/>
                <w:szCs w:val="22"/>
                <w:lang w:val="en-GB"/>
              </w:rPr>
              <w:t>- Placebo (n=500)</w:t>
            </w:r>
          </w:p>
        </w:tc>
        <w:tc>
          <w:tcPr>
            <w:tcW w:w="1730" w:type="dxa"/>
            <w:gridSpan w:val="2"/>
          </w:tcPr>
          <w:p w:rsidR="003C1176" w:rsidRPr="00F7606D" w:rsidRDefault="003C1176" w:rsidP="00302407">
            <w:pPr>
              <w:tabs>
                <w:tab w:val="clear" w:pos="510"/>
              </w:tabs>
              <w:spacing w:line="240" w:lineRule="auto"/>
              <w:contextualSpacing/>
              <w:rPr>
                <w:szCs w:val="22"/>
                <w:lang w:val="en-GB"/>
              </w:rPr>
            </w:pPr>
            <w:r w:rsidRPr="00F7606D">
              <w:rPr>
                <w:szCs w:val="22"/>
                <w:lang w:val="en-GB"/>
              </w:rPr>
              <w:t>Mixed</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2 years</w:t>
            </w:r>
          </w:p>
        </w:tc>
      </w:tr>
      <w:tr w:rsidR="00E3070E" w:rsidRPr="00F7606D" w:rsidTr="0075275D">
        <w:trPr>
          <w:trHeight w:val="173"/>
        </w:trPr>
        <w:tc>
          <w:tcPr>
            <w:tcW w:w="4046" w:type="dxa"/>
            <w:gridSpan w:val="2"/>
          </w:tcPr>
          <w:p w:rsidR="003C1176" w:rsidRDefault="003C1176" w:rsidP="00302407">
            <w:pPr>
              <w:tabs>
                <w:tab w:val="clear" w:pos="510"/>
              </w:tabs>
              <w:spacing w:line="240" w:lineRule="auto"/>
              <w:contextualSpacing/>
              <w:rPr>
                <w:b/>
                <w:i/>
                <w:szCs w:val="22"/>
                <w:lang w:val="en-GB"/>
              </w:rPr>
            </w:pPr>
            <w:r w:rsidRPr="00F7606D">
              <w:rPr>
                <w:b/>
                <w:i/>
                <w:szCs w:val="22"/>
                <w:lang w:val="en-GB"/>
              </w:rPr>
              <w:t xml:space="preserve">AFFIRM (2006) </w:t>
            </w:r>
          </w:p>
          <w:p w:rsidR="00DA53AF" w:rsidRDefault="00DA53AF" w:rsidP="00302407">
            <w:pPr>
              <w:tabs>
                <w:tab w:val="clear" w:pos="510"/>
              </w:tabs>
              <w:spacing w:line="240" w:lineRule="auto"/>
              <w:contextualSpacing/>
              <w:rPr>
                <w:b/>
                <w:i/>
                <w:szCs w:val="22"/>
                <w:lang w:val="en-GB"/>
              </w:rPr>
            </w:pPr>
            <w:r w:rsidRPr="00B61623">
              <w:rPr>
                <w:color w:val="000000" w:themeColor="text1"/>
                <w:lang w:val="en-US"/>
              </w:rPr>
              <w:t>Polman CH, O'Connor PW, Havrdova E, Hutchinson M, Kappos L, Miller DH, et al. A randomized, placebo-controlled trial of natalizumab for relapsing multiple sclerosis. N Engl J Med 2006;354(9):899-910.</w:t>
            </w:r>
          </w:p>
          <w:p w:rsidR="00DA53AF" w:rsidRPr="00F7606D" w:rsidRDefault="00DA53AF" w:rsidP="00302407">
            <w:pPr>
              <w:tabs>
                <w:tab w:val="clear" w:pos="510"/>
              </w:tabs>
              <w:spacing w:line="240" w:lineRule="auto"/>
              <w:contextualSpacing/>
              <w:rPr>
                <w:b/>
                <w:i/>
                <w:szCs w:val="22"/>
                <w:lang w:val="en-GB"/>
              </w:rPr>
            </w:pPr>
          </w:p>
          <w:p w:rsidR="003C1176" w:rsidRPr="00F7606D" w:rsidRDefault="003C1176" w:rsidP="00302407">
            <w:pPr>
              <w:tabs>
                <w:tab w:val="clear" w:pos="510"/>
              </w:tabs>
              <w:spacing w:line="240" w:lineRule="auto"/>
              <w:contextualSpacing/>
              <w:rPr>
                <w:szCs w:val="22"/>
                <w:lang w:val="en-GB"/>
              </w:rPr>
            </w:pPr>
            <w:r w:rsidRPr="00F7606D">
              <w:rPr>
                <w:szCs w:val="22"/>
                <w:lang w:val="en-GB"/>
              </w:rPr>
              <w:t>Double-blind, in 99 centres in Europe, North America, Australia, and New Zealand.</w:t>
            </w:r>
          </w:p>
        </w:tc>
        <w:tc>
          <w:tcPr>
            <w:tcW w:w="6410" w:type="dxa"/>
          </w:tcPr>
          <w:p w:rsidR="003C1176" w:rsidRPr="00F7606D" w:rsidRDefault="003C1176" w:rsidP="00302407">
            <w:pPr>
              <w:tabs>
                <w:tab w:val="clear" w:pos="510"/>
              </w:tabs>
              <w:spacing w:line="240" w:lineRule="auto"/>
              <w:contextualSpacing/>
              <w:rPr>
                <w:szCs w:val="22"/>
                <w:lang w:val="en-GB"/>
              </w:rPr>
            </w:pPr>
            <w:r w:rsidRPr="00F7606D">
              <w:rPr>
                <w:bCs/>
                <w:szCs w:val="22"/>
                <w:lang w:val="en-GB"/>
              </w:rPr>
              <w:t xml:space="preserve">- Natalizumab 300 mg IV every 4 weeks </w:t>
            </w:r>
            <w:r w:rsidRPr="00F7606D">
              <w:rPr>
                <w:szCs w:val="22"/>
                <w:lang w:val="en-GB"/>
              </w:rPr>
              <w:t>(n = 627)</w:t>
            </w:r>
          </w:p>
          <w:p w:rsidR="003C1176" w:rsidRPr="00F7606D" w:rsidRDefault="003C1176" w:rsidP="00302407">
            <w:pPr>
              <w:tabs>
                <w:tab w:val="clear" w:pos="510"/>
              </w:tabs>
              <w:spacing w:line="240" w:lineRule="auto"/>
              <w:contextualSpacing/>
              <w:rPr>
                <w:szCs w:val="22"/>
                <w:lang w:val="en-GB"/>
              </w:rPr>
            </w:pPr>
            <w:r w:rsidRPr="00F7606D">
              <w:rPr>
                <w:bCs/>
                <w:szCs w:val="22"/>
                <w:lang w:val="en-GB"/>
              </w:rPr>
              <w:t xml:space="preserve">- Placebo </w:t>
            </w:r>
            <w:r w:rsidRPr="00F7606D">
              <w:rPr>
                <w:szCs w:val="22"/>
                <w:lang w:val="en-GB"/>
              </w:rPr>
              <w:t>(n = 315)</w:t>
            </w:r>
          </w:p>
        </w:tc>
        <w:tc>
          <w:tcPr>
            <w:tcW w:w="1730" w:type="dxa"/>
            <w:gridSpan w:val="2"/>
          </w:tcPr>
          <w:p w:rsidR="003C1176" w:rsidRPr="00F7606D" w:rsidRDefault="003C1176" w:rsidP="00302407">
            <w:pPr>
              <w:tabs>
                <w:tab w:val="clear" w:pos="510"/>
              </w:tabs>
              <w:spacing w:line="240" w:lineRule="auto"/>
              <w:contextualSpacing/>
              <w:rPr>
                <w:szCs w:val="22"/>
                <w:lang w:val="en-GB"/>
              </w:rPr>
            </w:pPr>
            <w:r w:rsidRPr="00F7606D">
              <w:rPr>
                <w:szCs w:val="22"/>
                <w:lang w:val="en-GB"/>
              </w:rPr>
              <w:t>Unclear</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2 years</w:t>
            </w:r>
          </w:p>
        </w:tc>
      </w:tr>
      <w:tr w:rsidR="00E3070E" w:rsidRPr="00F7606D" w:rsidTr="0075275D">
        <w:trPr>
          <w:trHeight w:val="173"/>
        </w:trPr>
        <w:tc>
          <w:tcPr>
            <w:tcW w:w="4046" w:type="dxa"/>
            <w:gridSpan w:val="2"/>
          </w:tcPr>
          <w:p w:rsidR="00AE08EE" w:rsidRPr="00AE08EE" w:rsidRDefault="00AE08EE" w:rsidP="00302407">
            <w:pPr>
              <w:tabs>
                <w:tab w:val="clear" w:pos="510"/>
              </w:tabs>
              <w:spacing w:line="240" w:lineRule="auto"/>
              <w:contextualSpacing/>
              <w:rPr>
                <w:b/>
                <w:i/>
                <w:szCs w:val="22"/>
                <w:lang w:val="en-GB"/>
              </w:rPr>
            </w:pPr>
            <w:r w:rsidRPr="00AE08EE">
              <w:rPr>
                <w:b/>
                <w:i/>
                <w:szCs w:val="22"/>
                <w:lang w:val="en-GB"/>
              </w:rPr>
              <w:t>Gobbi C, Meier DS, Cotton F, Sintzel M, Leppert D, Guttmann CRG, et al. Interferon beta 1b following natalizumab discontinuation: One year, randomized, prospective, pilot trial. BMC Neurol 2013;13(101).</w:t>
            </w:r>
          </w:p>
          <w:p w:rsidR="00AE08EE" w:rsidRDefault="00AE08EE" w:rsidP="00302407">
            <w:pPr>
              <w:tabs>
                <w:tab w:val="clear" w:pos="510"/>
              </w:tabs>
              <w:spacing w:line="240" w:lineRule="auto"/>
              <w:contextualSpacing/>
              <w:rPr>
                <w:rFonts w:eastAsiaTheme="minorHAnsi" w:cs="AdvTT86d47313"/>
                <w:szCs w:val="22"/>
                <w:lang w:val="en-GB" w:eastAsia="en-US"/>
              </w:rPr>
            </w:pPr>
          </w:p>
          <w:p w:rsidR="003C1176" w:rsidRPr="00F7606D" w:rsidRDefault="003C1176" w:rsidP="00302407">
            <w:pPr>
              <w:tabs>
                <w:tab w:val="clear" w:pos="510"/>
              </w:tabs>
              <w:spacing w:line="240" w:lineRule="auto"/>
              <w:contextualSpacing/>
              <w:rPr>
                <w:szCs w:val="22"/>
                <w:lang w:val="en-GB"/>
              </w:rPr>
            </w:pPr>
            <w:r w:rsidRPr="00AE08EE">
              <w:rPr>
                <w:rFonts w:eastAsiaTheme="minorHAnsi" w:cs="AdvTT86d47313"/>
                <w:szCs w:val="22"/>
                <w:lang w:val="en-GB" w:eastAsia="en-US"/>
              </w:rPr>
              <w:t xml:space="preserve">Rater blinded. </w:t>
            </w:r>
            <w:r w:rsidRPr="00F7606D">
              <w:rPr>
                <w:rFonts w:eastAsiaTheme="minorHAnsi" w:cs="AdvTT86d47313"/>
                <w:szCs w:val="22"/>
                <w:lang w:val="en-GB" w:eastAsia="en-US"/>
              </w:rPr>
              <w:t>One centre, Switzerland.</w:t>
            </w:r>
          </w:p>
        </w:tc>
        <w:tc>
          <w:tcPr>
            <w:tcW w:w="6410" w:type="dxa"/>
          </w:tcPr>
          <w:p w:rsidR="003C1176" w:rsidRPr="00F7606D" w:rsidRDefault="003C1176" w:rsidP="00302407">
            <w:pPr>
              <w:tabs>
                <w:tab w:val="clear" w:pos="510"/>
              </w:tabs>
              <w:spacing w:line="240" w:lineRule="auto"/>
              <w:contextualSpacing/>
              <w:rPr>
                <w:rFonts w:eastAsiaTheme="minorHAnsi" w:cs="AdvTT86d47313"/>
                <w:szCs w:val="22"/>
                <w:lang w:val="en-GB" w:eastAsia="en-US"/>
              </w:rPr>
            </w:pPr>
            <w:r w:rsidRPr="00F7606D">
              <w:rPr>
                <w:rFonts w:eastAsiaTheme="minorHAnsi" w:cs="AdvTT86d47313"/>
                <w:szCs w:val="22"/>
                <w:lang w:val="en-GB" w:eastAsia="en-US"/>
              </w:rPr>
              <w:t>- Continue on natalizumab 300 mg IV q.m. (n=10)</w:t>
            </w:r>
          </w:p>
          <w:p w:rsidR="003C1176" w:rsidRPr="00F7606D" w:rsidRDefault="003C1176" w:rsidP="00302407">
            <w:pPr>
              <w:tabs>
                <w:tab w:val="clear" w:pos="510"/>
              </w:tabs>
              <w:spacing w:line="240" w:lineRule="auto"/>
              <w:contextualSpacing/>
              <w:rPr>
                <w:bCs/>
                <w:szCs w:val="22"/>
                <w:lang w:val="en-GB"/>
              </w:rPr>
            </w:pPr>
            <w:r w:rsidRPr="00F7606D">
              <w:rPr>
                <w:rFonts w:eastAsiaTheme="minorHAnsi" w:cs="AdvTT86d47313"/>
                <w:szCs w:val="22"/>
                <w:lang w:val="en-GB" w:eastAsia="en-US"/>
              </w:rPr>
              <w:t>- Switch to interferon beta-1b 250 mcg every other day (n=9)</w:t>
            </w:r>
          </w:p>
        </w:tc>
        <w:tc>
          <w:tcPr>
            <w:tcW w:w="1730" w:type="dxa"/>
            <w:gridSpan w:val="2"/>
          </w:tcPr>
          <w:p w:rsidR="003C1176" w:rsidRPr="00F7606D" w:rsidRDefault="003C1176" w:rsidP="00302407">
            <w:pPr>
              <w:tabs>
                <w:tab w:val="clear" w:pos="510"/>
              </w:tabs>
              <w:spacing w:line="240" w:lineRule="auto"/>
              <w:contextualSpacing/>
              <w:rPr>
                <w:szCs w:val="22"/>
                <w:lang w:val="en-GB"/>
              </w:rPr>
            </w:pPr>
            <w:r w:rsidRPr="00F7606D">
              <w:rPr>
                <w:szCs w:val="22"/>
                <w:lang w:val="en-GB"/>
              </w:rPr>
              <w:t>Treatment experienced</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1 year</w:t>
            </w:r>
          </w:p>
        </w:tc>
      </w:tr>
      <w:tr w:rsidR="00E3070E" w:rsidRPr="00F7606D" w:rsidTr="0075275D">
        <w:trPr>
          <w:trHeight w:val="173"/>
        </w:trPr>
        <w:tc>
          <w:tcPr>
            <w:tcW w:w="4046" w:type="dxa"/>
            <w:gridSpan w:val="2"/>
          </w:tcPr>
          <w:p w:rsidR="003C1176" w:rsidRDefault="003C1176" w:rsidP="00302407">
            <w:pPr>
              <w:tabs>
                <w:tab w:val="clear" w:pos="510"/>
              </w:tabs>
              <w:spacing w:line="240" w:lineRule="auto"/>
              <w:contextualSpacing/>
              <w:rPr>
                <w:b/>
                <w:i/>
                <w:szCs w:val="22"/>
                <w:lang w:val="en-GB"/>
              </w:rPr>
            </w:pPr>
            <w:r w:rsidRPr="00F7606D">
              <w:rPr>
                <w:b/>
                <w:i/>
                <w:szCs w:val="22"/>
                <w:lang w:val="en-GB"/>
              </w:rPr>
              <w:t xml:space="preserve">RESTORE (2014) </w:t>
            </w:r>
          </w:p>
          <w:p w:rsidR="00DA53AF" w:rsidRPr="00DA53AF" w:rsidRDefault="00DA53AF" w:rsidP="00302407">
            <w:pPr>
              <w:tabs>
                <w:tab w:val="clear" w:pos="510"/>
              </w:tabs>
              <w:spacing w:line="240" w:lineRule="auto"/>
              <w:contextualSpacing/>
              <w:rPr>
                <w:rFonts w:eastAsiaTheme="minorHAnsi" w:cs="AdvOT35fdff1a"/>
                <w:color w:val="231F20"/>
                <w:szCs w:val="22"/>
                <w:lang w:val="en-GB" w:eastAsia="en-US"/>
              </w:rPr>
            </w:pPr>
            <w:r w:rsidRPr="00DA53AF">
              <w:rPr>
                <w:rFonts w:eastAsiaTheme="minorHAnsi" w:cs="AdvOT35fdff1a"/>
                <w:color w:val="231F20"/>
                <w:szCs w:val="22"/>
                <w:lang w:val="en-GB" w:eastAsia="en-US"/>
              </w:rPr>
              <w:t>Fox RJ, Cree BAC, De Seze J, Gold R, Hartung HP, Jeffery D, et al. MS disease activity in RESTORE: A randomized 24-week natalizumab treatment interruption study. Neurology 2014;82(17):1491-1498.</w:t>
            </w:r>
          </w:p>
          <w:p w:rsidR="00DA53AF" w:rsidRPr="00F7606D" w:rsidRDefault="00DA53AF" w:rsidP="00302407">
            <w:pPr>
              <w:tabs>
                <w:tab w:val="clear" w:pos="510"/>
              </w:tabs>
              <w:spacing w:line="240" w:lineRule="auto"/>
              <w:contextualSpacing/>
              <w:rPr>
                <w:b/>
                <w:i/>
                <w:szCs w:val="22"/>
                <w:lang w:val="en-GB"/>
              </w:rPr>
            </w:pPr>
          </w:p>
          <w:p w:rsidR="003C1176" w:rsidRPr="00F7606D" w:rsidRDefault="003C1176" w:rsidP="00302407">
            <w:pPr>
              <w:tabs>
                <w:tab w:val="clear" w:pos="510"/>
              </w:tabs>
              <w:spacing w:line="240" w:lineRule="auto"/>
              <w:contextualSpacing/>
              <w:rPr>
                <w:szCs w:val="22"/>
                <w:lang w:val="en-GB"/>
              </w:rPr>
            </w:pPr>
            <w:r w:rsidRPr="00F7606D">
              <w:rPr>
                <w:rFonts w:eastAsiaTheme="minorHAnsi" w:cs="AdvOT35fdff1a"/>
                <w:color w:val="231F20"/>
                <w:szCs w:val="22"/>
                <w:lang w:val="en-GB" w:eastAsia="en-US"/>
              </w:rPr>
              <w:t>Randomized partially, in North America and Europe</w:t>
            </w:r>
          </w:p>
        </w:tc>
        <w:tc>
          <w:tcPr>
            <w:tcW w:w="6410" w:type="dxa"/>
          </w:tcPr>
          <w:p w:rsidR="003C1176" w:rsidRPr="00F7606D" w:rsidRDefault="003C1176" w:rsidP="00302407">
            <w:pPr>
              <w:tabs>
                <w:tab w:val="clear" w:pos="510"/>
              </w:tabs>
              <w:spacing w:line="240" w:lineRule="auto"/>
              <w:contextualSpacing/>
              <w:rPr>
                <w:rFonts w:cs="Arial"/>
                <w:color w:val="000000"/>
                <w:szCs w:val="22"/>
                <w:lang w:val="en-GB" w:eastAsia="en-US"/>
              </w:rPr>
            </w:pPr>
            <w:r w:rsidRPr="00F7606D">
              <w:rPr>
                <w:szCs w:val="22"/>
                <w:lang w:val="en-GB"/>
              </w:rPr>
              <w:t>- Nata</w:t>
            </w:r>
            <w:r w:rsidRPr="00F7606D">
              <w:rPr>
                <w:rFonts w:cs="Arial"/>
                <w:color w:val="000000"/>
                <w:szCs w:val="22"/>
                <w:shd w:val="clear" w:color="auto" w:fill="FFFFFF"/>
                <w:lang w:val="en-GB" w:eastAsia="en-US"/>
              </w:rPr>
              <w:t>lizumab</w:t>
            </w:r>
            <w:r w:rsidRPr="00F7606D">
              <w:rPr>
                <w:szCs w:val="22"/>
                <w:lang w:val="en-GB" w:eastAsia="en-US"/>
              </w:rPr>
              <w:t xml:space="preserve"> </w:t>
            </w:r>
            <w:r w:rsidRPr="00F7606D">
              <w:rPr>
                <w:rFonts w:cs="Arial"/>
                <w:color w:val="000000"/>
                <w:szCs w:val="22"/>
                <w:lang w:val="en-GB" w:eastAsia="en-US"/>
              </w:rPr>
              <w:t>300 mg IV every 4 weeks (n=45)</w:t>
            </w:r>
          </w:p>
          <w:p w:rsidR="003C1176" w:rsidRPr="00F7606D" w:rsidRDefault="003C1176" w:rsidP="00302407">
            <w:pPr>
              <w:tabs>
                <w:tab w:val="clear" w:pos="510"/>
              </w:tabs>
              <w:spacing w:line="240" w:lineRule="auto"/>
              <w:contextualSpacing/>
              <w:rPr>
                <w:rFonts w:eastAsiaTheme="minorHAnsi" w:cs="AdvOT35fdff1a"/>
                <w:color w:val="231F20"/>
                <w:szCs w:val="22"/>
                <w:lang w:val="en-GB" w:eastAsia="en-US"/>
              </w:rPr>
            </w:pPr>
            <w:r w:rsidRPr="00F7606D">
              <w:rPr>
                <w:rFonts w:eastAsiaTheme="minorHAnsi" w:cs="AdvOT35fdff1a"/>
                <w:color w:val="231F20"/>
                <w:szCs w:val="22"/>
                <w:lang w:val="en-GB" w:eastAsia="en-US"/>
              </w:rPr>
              <w:t>- Alternate immunomodulatory therapy (n=88) (not our scope)</w:t>
            </w:r>
          </w:p>
          <w:p w:rsidR="003C1176" w:rsidRPr="00F7606D" w:rsidRDefault="003C1176" w:rsidP="00302407">
            <w:pPr>
              <w:tabs>
                <w:tab w:val="clear" w:pos="510"/>
              </w:tabs>
              <w:spacing w:line="240" w:lineRule="auto"/>
              <w:contextualSpacing/>
              <w:rPr>
                <w:i/>
                <w:szCs w:val="22"/>
                <w:lang w:val="en-GB"/>
              </w:rPr>
            </w:pPr>
            <w:r w:rsidRPr="00F7606D">
              <w:rPr>
                <w:i/>
                <w:szCs w:val="22"/>
                <w:lang w:val="en-GB"/>
              </w:rPr>
              <w:t xml:space="preserve">- </w:t>
            </w:r>
            <w:r w:rsidRPr="00F7606D">
              <w:rPr>
                <w:rFonts w:cs="Arial"/>
                <w:color w:val="000000"/>
                <w:szCs w:val="22"/>
                <w:shd w:val="clear" w:color="auto" w:fill="FFFFFF"/>
                <w:lang w:val="en-GB"/>
              </w:rPr>
              <w:t>Placebo IV every 4 weeks (n=42)</w:t>
            </w:r>
          </w:p>
        </w:tc>
        <w:tc>
          <w:tcPr>
            <w:tcW w:w="1730" w:type="dxa"/>
            <w:gridSpan w:val="2"/>
          </w:tcPr>
          <w:p w:rsidR="003C1176" w:rsidRPr="00F7606D" w:rsidRDefault="003C1176" w:rsidP="00302407">
            <w:pPr>
              <w:tabs>
                <w:tab w:val="clear" w:pos="510"/>
              </w:tabs>
              <w:spacing w:line="240" w:lineRule="auto"/>
              <w:contextualSpacing/>
              <w:rPr>
                <w:szCs w:val="22"/>
                <w:lang w:val="en-GB"/>
              </w:rPr>
            </w:pPr>
            <w:r w:rsidRPr="00F7606D">
              <w:rPr>
                <w:rFonts w:eastAsiaTheme="minorHAnsi" w:cs="AdvOT35fdff1a"/>
                <w:color w:val="231F20"/>
                <w:szCs w:val="22"/>
                <w:lang w:val="en-GB" w:eastAsia="en-US"/>
              </w:rPr>
              <w:t>Treatment experienced</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24 weeks</w:t>
            </w:r>
          </w:p>
        </w:tc>
      </w:tr>
      <w:tr w:rsidR="00E3070E" w:rsidRPr="00F7606D" w:rsidTr="0075275D">
        <w:trPr>
          <w:trHeight w:val="114"/>
        </w:trPr>
        <w:tc>
          <w:tcPr>
            <w:tcW w:w="4046" w:type="dxa"/>
            <w:gridSpan w:val="2"/>
          </w:tcPr>
          <w:p w:rsidR="00AE08EE" w:rsidRPr="00AE08EE" w:rsidRDefault="00AE08EE" w:rsidP="00AE08EE">
            <w:pPr>
              <w:spacing w:line="240" w:lineRule="auto"/>
              <w:contextualSpacing/>
              <w:rPr>
                <w:b/>
                <w:i/>
                <w:szCs w:val="22"/>
                <w:lang w:val="en-GB"/>
              </w:rPr>
            </w:pPr>
            <w:r w:rsidRPr="00AE08EE">
              <w:rPr>
                <w:b/>
                <w:i/>
                <w:szCs w:val="22"/>
                <w:lang w:val="en-GB"/>
              </w:rPr>
              <w:t>Zecca C, Riccitelli GC, Calabrese P, Pravata E, Candrian U, Guttmann CR, et al. Treatment satisfaction, adherence and behavioral assessment in patients de-escalating from natalizumab to interferon beta. BMC Neurol 2014;14:38.</w:t>
            </w:r>
          </w:p>
          <w:p w:rsidR="00DA53AF" w:rsidRDefault="00DA53AF" w:rsidP="00302407">
            <w:pPr>
              <w:tabs>
                <w:tab w:val="clear" w:pos="510"/>
              </w:tabs>
              <w:spacing w:line="240" w:lineRule="auto"/>
              <w:contextualSpacing/>
              <w:rPr>
                <w:b/>
                <w:szCs w:val="22"/>
                <w:lang w:val="en-GB"/>
              </w:rPr>
            </w:pPr>
          </w:p>
          <w:p w:rsidR="003C1176" w:rsidRPr="00F7606D" w:rsidRDefault="003C1176" w:rsidP="00302407">
            <w:pPr>
              <w:tabs>
                <w:tab w:val="clear" w:pos="510"/>
              </w:tabs>
              <w:spacing w:line="240" w:lineRule="auto"/>
              <w:contextualSpacing/>
              <w:rPr>
                <w:szCs w:val="22"/>
                <w:lang w:val="en-GB"/>
              </w:rPr>
            </w:pPr>
            <w:r w:rsidRPr="00F7606D">
              <w:rPr>
                <w:rFonts w:eastAsiaTheme="minorHAnsi" w:cs="AdvTTb5929f4c"/>
                <w:szCs w:val="22"/>
                <w:lang w:val="en-GB" w:eastAsia="en-US"/>
              </w:rPr>
              <w:t xml:space="preserve">Rater-blinded, parallel-group study, </w:t>
            </w:r>
            <w:r w:rsidRPr="00F7606D">
              <w:rPr>
                <w:rFonts w:eastAsiaTheme="minorHAnsi"/>
                <w:szCs w:val="22"/>
                <w:lang w:val="en-GB" w:eastAsia="en-US"/>
              </w:rPr>
              <w:t>single center, Switzerland</w:t>
            </w:r>
          </w:p>
        </w:tc>
        <w:tc>
          <w:tcPr>
            <w:tcW w:w="6410" w:type="dxa"/>
          </w:tcPr>
          <w:p w:rsidR="003C1176" w:rsidRPr="00F7606D" w:rsidRDefault="003C1176" w:rsidP="00302407">
            <w:pPr>
              <w:tabs>
                <w:tab w:val="clear" w:pos="510"/>
              </w:tabs>
              <w:spacing w:line="240" w:lineRule="auto"/>
              <w:contextualSpacing/>
              <w:rPr>
                <w:rFonts w:eastAsiaTheme="minorHAnsi" w:cs="AdvTT86d47313"/>
                <w:szCs w:val="22"/>
                <w:lang w:val="en-GB" w:eastAsia="en-US"/>
              </w:rPr>
            </w:pPr>
            <w:r w:rsidRPr="00F7606D">
              <w:rPr>
                <w:rFonts w:eastAsiaTheme="minorHAnsi" w:cs="AdvTT86d47313"/>
                <w:szCs w:val="22"/>
                <w:lang w:val="en-GB" w:eastAsia="en-US"/>
              </w:rPr>
              <w:t>- Continue Natalizumab monthly intravenous (i.v.) 300 mg (n=10)</w:t>
            </w:r>
          </w:p>
          <w:p w:rsidR="003C1176" w:rsidRPr="00F7606D" w:rsidRDefault="003C1176" w:rsidP="00302407">
            <w:pPr>
              <w:tabs>
                <w:tab w:val="clear" w:pos="510"/>
              </w:tabs>
              <w:spacing w:line="240" w:lineRule="auto"/>
              <w:contextualSpacing/>
              <w:rPr>
                <w:bCs/>
                <w:szCs w:val="22"/>
                <w:lang w:val="en-GB"/>
              </w:rPr>
            </w:pPr>
            <w:r w:rsidRPr="00F7606D">
              <w:rPr>
                <w:rFonts w:eastAsiaTheme="minorHAnsi" w:cs="AdvTT86d47313"/>
                <w:szCs w:val="22"/>
                <w:lang w:val="en-GB" w:eastAsia="en-US"/>
              </w:rPr>
              <w:t xml:space="preserve">- De-escalate to interferon </w:t>
            </w:r>
            <w:r>
              <w:rPr>
                <w:rFonts w:eastAsiaTheme="minorHAnsi" w:cs="AdvTT86d47313"/>
                <w:szCs w:val="22"/>
                <w:lang w:val="en-GB" w:eastAsia="en-US"/>
              </w:rPr>
              <w:t>beta-1</w:t>
            </w:r>
            <w:r w:rsidRPr="00F7606D">
              <w:rPr>
                <w:rFonts w:eastAsiaTheme="minorHAnsi" w:cs="AdvTT86d47313"/>
                <w:szCs w:val="22"/>
                <w:lang w:val="en-GB" w:eastAsia="en-US"/>
              </w:rPr>
              <w:t xml:space="preserve">b subcutaneous (s.c.) 250 </w:t>
            </w:r>
            <w:r w:rsidRPr="00F7606D">
              <w:rPr>
                <w:rFonts w:eastAsiaTheme="minorHAnsi" w:cs="AdvTT86d47313+03"/>
                <w:szCs w:val="22"/>
                <w:lang w:val="en-GB" w:eastAsia="en-US"/>
              </w:rPr>
              <w:t>mcg</w:t>
            </w:r>
            <w:r w:rsidRPr="00F7606D">
              <w:rPr>
                <w:rFonts w:eastAsiaTheme="minorHAnsi" w:cs="AdvTT86d47313"/>
                <w:szCs w:val="22"/>
                <w:lang w:val="en-GB" w:eastAsia="en-US"/>
              </w:rPr>
              <w:t xml:space="preserve"> every other day (n=9)</w:t>
            </w:r>
          </w:p>
        </w:tc>
        <w:tc>
          <w:tcPr>
            <w:tcW w:w="1730" w:type="dxa"/>
            <w:gridSpan w:val="2"/>
          </w:tcPr>
          <w:p w:rsidR="003C1176" w:rsidRPr="00F7606D" w:rsidRDefault="003C1176" w:rsidP="00302407">
            <w:pPr>
              <w:tabs>
                <w:tab w:val="clear" w:pos="510"/>
              </w:tabs>
              <w:spacing w:line="240" w:lineRule="auto"/>
              <w:contextualSpacing/>
              <w:rPr>
                <w:szCs w:val="22"/>
                <w:lang w:val="en-GB"/>
              </w:rPr>
            </w:pPr>
            <w:r w:rsidRPr="00F7606D">
              <w:rPr>
                <w:szCs w:val="22"/>
                <w:lang w:val="en-GB"/>
              </w:rPr>
              <w:t>Treatment experienced</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1 year</w:t>
            </w:r>
          </w:p>
        </w:tc>
      </w:tr>
      <w:tr w:rsidR="00E3070E" w:rsidRPr="00F7606D" w:rsidTr="0075275D">
        <w:trPr>
          <w:trHeight w:val="173"/>
        </w:trPr>
        <w:tc>
          <w:tcPr>
            <w:tcW w:w="4046" w:type="dxa"/>
            <w:gridSpan w:val="2"/>
          </w:tcPr>
          <w:p w:rsidR="00DA53AF" w:rsidRDefault="003C1176" w:rsidP="00302407">
            <w:pPr>
              <w:tabs>
                <w:tab w:val="clear" w:pos="510"/>
              </w:tabs>
              <w:spacing w:line="240" w:lineRule="auto"/>
              <w:contextualSpacing/>
              <w:rPr>
                <w:b/>
                <w:i/>
                <w:szCs w:val="22"/>
                <w:lang w:val="en-GB"/>
              </w:rPr>
            </w:pPr>
            <w:r w:rsidRPr="00F7606D">
              <w:rPr>
                <w:b/>
                <w:i/>
                <w:szCs w:val="22"/>
                <w:lang w:val="en-GB"/>
              </w:rPr>
              <w:t>O’Connor et al (2006)</w:t>
            </w:r>
          </w:p>
          <w:p w:rsidR="00DA53AF" w:rsidRDefault="00DA53AF" w:rsidP="00302407">
            <w:pPr>
              <w:tabs>
                <w:tab w:val="clear" w:pos="510"/>
              </w:tabs>
              <w:spacing w:line="240" w:lineRule="auto"/>
              <w:contextualSpacing/>
              <w:rPr>
                <w:b/>
                <w:i/>
                <w:szCs w:val="22"/>
                <w:lang w:val="en-GB"/>
              </w:rPr>
            </w:pPr>
            <w:r w:rsidRPr="00B61623">
              <w:rPr>
                <w:color w:val="000000" w:themeColor="text1"/>
                <w:lang w:val="en-US"/>
              </w:rPr>
              <w:t>O'Connor PW, Li D, Freedman MS, Bar-Or A, Rice GP, Confavreux C, et al. A Phase II study of the safety and efficacy of teriflunomide in multiple sclerosis with relapses. Neurology 2006;66(6):894-900.</w:t>
            </w:r>
          </w:p>
          <w:p w:rsidR="003C1176" w:rsidRPr="00F7606D" w:rsidRDefault="00DA53AF" w:rsidP="00302407">
            <w:pPr>
              <w:tabs>
                <w:tab w:val="clear" w:pos="510"/>
              </w:tabs>
              <w:spacing w:line="240" w:lineRule="auto"/>
              <w:contextualSpacing/>
              <w:rPr>
                <w:b/>
                <w:i/>
                <w:szCs w:val="22"/>
                <w:lang w:val="en-GB"/>
              </w:rPr>
            </w:pPr>
            <w:r w:rsidRPr="00F7606D">
              <w:rPr>
                <w:b/>
                <w:i/>
                <w:szCs w:val="22"/>
                <w:lang w:val="en-GB"/>
              </w:rPr>
              <w:t xml:space="preserve"> </w:t>
            </w:r>
          </w:p>
          <w:p w:rsidR="003C1176" w:rsidRPr="00F7606D" w:rsidRDefault="003C1176" w:rsidP="00302407">
            <w:pPr>
              <w:tabs>
                <w:tab w:val="clear" w:pos="510"/>
              </w:tabs>
              <w:spacing w:line="240" w:lineRule="auto"/>
              <w:contextualSpacing/>
              <w:rPr>
                <w:szCs w:val="22"/>
                <w:lang w:val="en-GB"/>
              </w:rPr>
            </w:pPr>
            <w:r w:rsidRPr="00F7606D">
              <w:rPr>
                <w:rFonts w:eastAsiaTheme="minorHAnsi" w:cs="NewCenturySchlbk-Roman"/>
                <w:szCs w:val="22"/>
                <w:lang w:val="en-GB" w:eastAsia="en-US"/>
              </w:rPr>
              <w:t>Double-blind. Centres in Canada</w:t>
            </w:r>
          </w:p>
        </w:tc>
        <w:tc>
          <w:tcPr>
            <w:tcW w:w="6410" w:type="dxa"/>
          </w:tcPr>
          <w:p w:rsidR="003C1176" w:rsidRPr="00B4105F" w:rsidRDefault="003C1176" w:rsidP="00302407">
            <w:pPr>
              <w:pStyle w:val="Default"/>
              <w:contextualSpacing/>
              <w:jc w:val="both"/>
              <w:rPr>
                <w:rFonts w:ascii="Georgia" w:hAnsi="Georgia"/>
                <w:sz w:val="22"/>
                <w:szCs w:val="22"/>
                <w:lang w:val="pt-PT"/>
              </w:rPr>
            </w:pPr>
            <w:r w:rsidRPr="00B4105F">
              <w:rPr>
                <w:rFonts w:ascii="Georgia" w:hAnsi="Georgia"/>
                <w:bCs/>
                <w:sz w:val="22"/>
                <w:szCs w:val="22"/>
                <w:lang w:val="pt-PT"/>
              </w:rPr>
              <w:t>- Teriflunomide oral 7 mg q.d.(n=61)</w:t>
            </w:r>
          </w:p>
          <w:p w:rsidR="003C1176" w:rsidRPr="00B4105F" w:rsidRDefault="003C1176" w:rsidP="00302407">
            <w:pPr>
              <w:tabs>
                <w:tab w:val="clear" w:pos="510"/>
              </w:tabs>
              <w:spacing w:line="240" w:lineRule="auto"/>
              <w:contextualSpacing/>
              <w:rPr>
                <w:bCs/>
                <w:szCs w:val="22"/>
                <w:lang w:val="pt-PT"/>
              </w:rPr>
            </w:pPr>
            <w:r w:rsidRPr="00B4105F">
              <w:rPr>
                <w:bCs/>
                <w:szCs w:val="22"/>
                <w:lang w:val="pt-PT"/>
              </w:rPr>
              <w:t>- Teriflunomide oral 14 mg q.d.(n=57</w:t>
            </w:r>
          </w:p>
          <w:p w:rsidR="003C1176" w:rsidRPr="00F7606D" w:rsidRDefault="003C1176" w:rsidP="00302407">
            <w:pPr>
              <w:tabs>
                <w:tab w:val="clear" w:pos="510"/>
              </w:tabs>
              <w:spacing w:line="240" w:lineRule="auto"/>
              <w:contextualSpacing/>
              <w:rPr>
                <w:bCs/>
                <w:szCs w:val="22"/>
                <w:lang w:val="en-GB"/>
              </w:rPr>
            </w:pPr>
            <w:r w:rsidRPr="00F7606D">
              <w:rPr>
                <w:szCs w:val="22"/>
                <w:lang w:val="en-GB"/>
              </w:rPr>
              <w:t>- Placebo (n=61)</w:t>
            </w:r>
          </w:p>
        </w:tc>
        <w:tc>
          <w:tcPr>
            <w:tcW w:w="1730" w:type="dxa"/>
            <w:gridSpan w:val="2"/>
          </w:tcPr>
          <w:p w:rsidR="003C1176" w:rsidRPr="00F7606D" w:rsidRDefault="003C1176" w:rsidP="00302407">
            <w:pPr>
              <w:tabs>
                <w:tab w:val="clear" w:pos="510"/>
              </w:tabs>
              <w:spacing w:line="240" w:lineRule="auto"/>
              <w:contextualSpacing/>
              <w:rPr>
                <w:szCs w:val="22"/>
                <w:lang w:val="en-GB"/>
              </w:rPr>
            </w:pPr>
            <w:r w:rsidRPr="00F7606D">
              <w:rPr>
                <w:rFonts w:eastAsiaTheme="minorHAnsi"/>
                <w:szCs w:val="22"/>
                <w:lang w:val="en-GB" w:eastAsia="en-US"/>
              </w:rPr>
              <w:t>Treatment-naive</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36 weeks</w:t>
            </w:r>
          </w:p>
        </w:tc>
      </w:tr>
      <w:tr w:rsidR="003C1176" w:rsidRPr="00F7606D" w:rsidTr="0075275D">
        <w:trPr>
          <w:trHeight w:val="173"/>
        </w:trPr>
        <w:tc>
          <w:tcPr>
            <w:tcW w:w="4046" w:type="dxa"/>
            <w:gridSpan w:val="2"/>
          </w:tcPr>
          <w:p w:rsidR="003C1176" w:rsidRDefault="003C1176" w:rsidP="00302407">
            <w:pPr>
              <w:tabs>
                <w:tab w:val="clear" w:pos="510"/>
              </w:tabs>
              <w:spacing w:line="240" w:lineRule="auto"/>
              <w:contextualSpacing/>
              <w:rPr>
                <w:b/>
                <w:i/>
                <w:szCs w:val="22"/>
                <w:lang w:val="en-GB"/>
              </w:rPr>
            </w:pPr>
            <w:r w:rsidRPr="00F7606D">
              <w:rPr>
                <w:b/>
                <w:i/>
                <w:szCs w:val="22"/>
                <w:lang w:val="en-GB"/>
              </w:rPr>
              <w:t xml:space="preserve">TEMSO (2011) </w:t>
            </w:r>
          </w:p>
          <w:p w:rsidR="00DA53AF" w:rsidRDefault="00DA53AF" w:rsidP="00302407">
            <w:pPr>
              <w:tabs>
                <w:tab w:val="clear" w:pos="510"/>
              </w:tabs>
              <w:spacing w:line="240" w:lineRule="auto"/>
              <w:contextualSpacing/>
              <w:rPr>
                <w:color w:val="000000" w:themeColor="text1"/>
                <w:lang w:val="en-US"/>
              </w:rPr>
            </w:pPr>
            <w:r w:rsidRPr="00B61623">
              <w:rPr>
                <w:color w:val="000000" w:themeColor="text1"/>
                <w:lang w:val="en-US"/>
              </w:rPr>
              <w:t>O'Connor PW, Lublin FD, Wolinsky JS, Confavreux C, Comi G, Freedman MS, et al. Teriflunomide reduces relapse-related neurological sequelae, hospitalizations and steroid use. J Neurol 2013;260(10):2472-2480.</w:t>
            </w:r>
          </w:p>
          <w:p w:rsidR="00DA53AF" w:rsidRDefault="00DA53AF" w:rsidP="00302407">
            <w:pPr>
              <w:tabs>
                <w:tab w:val="clear" w:pos="510"/>
              </w:tabs>
              <w:spacing w:line="240" w:lineRule="auto"/>
              <w:contextualSpacing/>
              <w:rPr>
                <w:color w:val="000000" w:themeColor="text1"/>
                <w:lang w:val="en-US"/>
              </w:rPr>
            </w:pPr>
          </w:p>
          <w:p w:rsidR="00DA53AF" w:rsidRDefault="00DA53AF" w:rsidP="00302407">
            <w:pPr>
              <w:tabs>
                <w:tab w:val="clear" w:pos="510"/>
              </w:tabs>
              <w:spacing w:line="240" w:lineRule="auto"/>
              <w:contextualSpacing/>
              <w:rPr>
                <w:b/>
                <w:i/>
                <w:szCs w:val="22"/>
                <w:lang w:val="en-GB"/>
              </w:rPr>
            </w:pPr>
            <w:r w:rsidRPr="00B61623">
              <w:rPr>
                <w:color w:val="000000" w:themeColor="text1"/>
                <w:lang w:val="en-US"/>
              </w:rPr>
              <w:t>O'Connor P, Wolinsky JS, Confavreux C, Comi G, Kappos L, Olsson TP, et al. Randomized trial of oral teriflunomide for relapsing multiple sclerosis. N Engl J Med 2011;365(14):1293-1303.</w:t>
            </w:r>
          </w:p>
          <w:p w:rsidR="00DA53AF" w:rsidRPr="00F7606D" w:rsidRDefault="00DA53AF" w:rsidP="00302407">
            <w:pPr>
              <w:tabs>
                <w:tab w:val="clear" w:pos="510"/>
              </w:tabs>
              <w:spacing w:line="240" w:lineRule="auto"/>
              <w:contextualSpacing/>
              <w:rPr>
                <w:b/>
                <w:i/>
                <w:szCs w:val="22"/>
                <w:lang w:val="en-GB"/>
              </w:rPr>
            </w:pPr>
          </w:p>
          <w:p w:rsidR="003C1176" w:rsidRPr="00F7606D" w:rsidRDefault="003C1176" w:rsidP="00302407">
            <w:pPr>
              <w:tabs>
                <w:tab w:val="clear" w:pos="510"/>
              </w:tabs>
              <w:spacing w:line="240" w:lineRule="auto"/>
              <w:contextualSpacing/>
              <w:rPr>
                <w:szCs w:val="22"/>
                <w:lang w:val="en-GB"/>
              </w:rPr>
            </w:pPr>
            <w:r w:rsidRPr="00F7606D">
              <w:rPr>
                <w:szCs w:val="22"/>
                <w:lang w:val="en-GB"/>
              </w:rPr>
              <w:t>Double-blind, in 127 centres in 21 countries including Canada, Europe, and US.</w:t>
            </w:r>
          </w:p>
        </w:tc>
        <w:tc>
          <w:tcPr>
            <w:tcW w:w="6410" w:type="dxa"/>
          </w:tcPr>
          <w:p w:rsidR="003C1176" w:rsidRPr="00B4105F" w:rsidRDefault="003C1176" w:rsidP="00302407">
            <w:pPr>
              <w:pStyle w:val="Default"/>
              <w:contextualSpacing/>
              <w:jc w:val="both"/>
              <w:rPr>
                <w:rFonts w:ascii="Georgia" w:hAnsi="Georgia"/>
                <w:sz w:val="22"/>
                <w:szCs w:val="22"/>
                <w:lang w:val="pt-PT"/>
              </w:rPr>
            </w:pPr>
            <w:r w:rsidRPr="00B4105F">
              <w:rPr>
                <w:rFonts w:ascii="Georgia" w:hAnsi="Georgia"/>
                <w:bCs/>
                <w:sz w:val="22"/>
                <w:szCs w:val="22"/>
                <w:lang w:val="pt-PT"/>
              </w:rPr>
              <w:t xml:space="preserve">- Teriflunomide oral 7 mg q.d. </w:t>
            </w:r>
            <w:r w:rsidRPr="00B4105F">
              <w:rPr>
                <w:rFonts w:ascii="Georgia" w:hAnsi="Georgia"/>
                <w:sz w:val="22"/>
                <w:szCs w:val="22"/>
                <w:lang w:val="pt-PT"/>
              </w:rPr>
              <w:t>(n=365)</w:t>
            </w:r>
          </w:p>
          <w:p w:rsidR="003C1176" w:rsidRPr="00B4105F" w:rsidRDefault="003C1176" w:rsidP="00302407">
            <w:pPr>
              <w:tabs>
                <w:tab w:val="clear" w:pos="510"/>
              </w:tabs>
              <w:spacing w:line="240" w:lineRule="auto"/>
              <w:contextualSpacing/>
              <w:rPr>
                <w:szCs w:val="22"/>
                <w:lang w:val="pt-PT"/>
              </w:rPr>
            </w:pPr>
            <w:r w:rsidRPr="00B4105F">
              <w:rPr>
                <w:bCs/>
                <w:szCs w:val="22"/>
                <w:lang w:val="pt-PT"/>
              </w:rPr>
              <w:t xml:space="preserve">- Teriflunomide oral 14 mg q.d. </w:t>
            </w:r>
            <w:r w:rsidRPr="00B4105F">
              <w:rPr>
                <w:szCs w:val="22"/>
                <w:lang w:val="pt-PT"/>
              </w:rPr>
              <w:t>(n=358)</w:t>
            </w:r>
          </w:p>
          <w:p w:rsidR="003C1176" w:rsidRPr="00F7606D" w:rsidRDefault="003C1176" w:rsidP="00302407">
            <w:pPr>
              <w:tabs>
                <w:tab w:val="clear" w:pos="510"/>
              </w:tabs>
              <w:spacing w:line="240" w:lineRule="auto"/>
              <w:contextualSpacing/>
              <w:rPr>
                <w:bCs/>
                <w:szCs w:val="22"/>
                <w:lang w:val="en-GB"/>
              </w:rPr>
            </w:pPr>
            <w:r w:rsidRPr="00F7606D">
              <w:rPr>
                <w:bCs/>
                <w:szCs w:val="22"/>
                <w:lang w:val="en-GB"/>
              </w:rPr>
              <w:t xml:space="preserve">- Placebo </w:t>
            </w:r>
            <w:r w:rsidRPr="00F7606D">
              <w:rPr>
                <w:szCs w:val="22"/>
                <w:lang w:val="en-GB"/>
              </w:rPr>
              <w:t>(n=363)</w:t>
            </w:r>
          </w:p>
        </w:tc>
        <w:tc>
          <w:tcPr>
            <w:tcW w:w="1730" w:type="dxa"/>
            <w:gridSpan w:val="2"/>
          </w:tcPr>
          <w:p w:rsidR="003C1176" w:rsidRPr="00F7606D" w:rsidRDefault="003C1176" w:rsidP="00302407">
            <w:pPr>
              <w:tabs>
                <w:tab w:val="clear" w:pos="510"/>
              </w:tabs>
              <w:spacing w:line="240" w:lineRule="auto"/>
              <w:contextualSpacing/>
              <w:rPr>
                <w:szCs w:val="22"/>
                <w:lang w:val="en-GB"/>
              </w:rPr>
            </w:pPr>
            <w:r w:rsidRPr="00F7606D">
              <w:rPr>
                <w:szCs w:val="22"/>
                <w:lang w:val="en-GB"/>
              </w:rPr>
              <w:t>Mixed</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108 weeks</w:t>
            </w:r>
          </w:p>
        </w:tc>
      </w:tr>
      <w:tr w:rsidR="003C1176" w:rsidRPr="00F7606D" w:rsidTr="0075275D">
        <w:trPr>
          <w:trHeight w:val="177"/>
        </w:trPr>
        <w:tc>
          <w:tcPr>
            <w:tcW w:w="4046" w:type="dxa"/>
            <w:gridSpan w:val="2"/>
          </w:tcPr>
          <w:p w:rsidR="003C1176" w:rsidRDefault="003C1176" w:rsidP="00302407">
            <w:pPr>
              <w:tabs>
                <w:tab w:val="clear" w:pos="510"/>
              </w:tabs>
              <w:spacing w:line="240" w:lineRule="auto"/>
              <w:contextualSpacing/>
              <w:rPr>
                <w:b/>
                <w:i/>
                <w:szCs w:val="22"/>
                <w:lang w:val="en-GB"/>
              </w:rPr>
            </w:pPr>
            <w:r w:rsidRPr="00F7606D">
              <w:rPr>
                <w:b/>
                <w:i/>
                <w:szCs w:val="22"/>
                <w:lang w:val="en-GB"/>
              </w:rPr>
              <w:t xml:space="preserve">TOWER (2014) </w:t>
            </w:r>
          </w:p>
          <w:p w:rsidR="00DA53AF" w:rsidRDefault="00DA53AF" w:rsidP="00302407">
            <w:pPr>
              <w:tabs>
                <w:tab w:val="clear" w:pos="510"/>
              </w:tabs>
              <w:spacing w:line="240" w:lineRule="auto"/>
              <w:contextualSpacing/>
              <w:rPr>
                <w:b/>
                <w:i/>
                <w:szCs w:val="22"/>
                <w:lang w:val="en-GB"/>
              </w:rPr>
            </w:pPr>
            <w:r w:rsidRPr="00B61623">
              <w:rPr>
                <w:color w:val="000000" w:themeColor="text1"/>
                <w:lang w:val="en-US"/>
              </w:rPr>
              <w:t>Confavreux C, O'Connor P, Comi G, Freedman MS, Miller AE, Olsson TP, et al. Oral teriflunomide for patients with relapsing multiple sclerosis (TOWER): A randomised, double-blind, placebo-controlled, phase 3 trial. The Lancet Neurology 2014;13(3):247-256.</w:t>
            </w:r>
          </w:p>
          <w:p w:rsidR="00DA53AF" w:rsidRPr="00F7606D" w:rsidRDefault="00DA53AF" w:rsidP="00302407">
            <w:pPr>
              <w:tabs>
                <w:tab w:val="clear" w:pos="510"/>
              </w:tabs>
              <w:spacing w:line="240" w:lineRule="auto"/>
              <w:contextualSpacing/>
              <w:rPr>
                <w:b/>
                <w:i/>
                <w:szCs w:val="22"/>
                <w:lang w:val="en-GB"/>
              </w:rPr>
            </w:pPr>
          </w:p>
          <w:p w:rsidR="003C1176" w:rsidRPr="00F7606D" w:rsidRDefault="003C1176" w:rsidP="00302407">
            <w:pPr>
              <w:tabs>
                <w:tab w:val="clear" w:pos="510"/>
              </w:tabs>
              <w:spacing w:line="240" w:lineRule="auto"/>
              <w:contextualSpacing/>
              <w:rPr>
                <w:szCs w:val="22"/>
                <w:lang w:val="en-GB"/>
              </w:rPr>
            </w:pPr>
            <w:r w:rsidRPr="00F7606D">
              <w:rPr>
                <w:rFonts w:eastAsia="ScalaLancetPro-Bold" w:cs="ScalaLancetPro-Bold"/>
                <w:bCs/>
                <w:szCs w:val="22"/>
                <w:lang w:val="en-GB" w:eastAsia="en-US"/>
              </w:rPr>
              <w:t xml:space="preserve">Double-blind, in </w:t>
            </w:r>
            <w:r w:rsidRPr="00F7606D">
              <w:rPr>
                <w:rFonts w:eastAsia="ScalaLancetPro" w:cs="ScalaLancetPro"/>
                <w:szCs w:val="22"/>
                <w:lang w:val="en-GB" w:eastAsia="en-US"/>
              </w:rPr>
              <w:t>189 centres mainly hospital-based sites in 26 countries</w:t>
            </w:r>
          </w:p>
        </w:tc>
        <w:tc>
          <w:tcPr>
            <w:tcW w:w="6410" w:type="dxa"/>
          </w:tcPr>
          <w:p w:rsidR="003C1176" w:rsidRPr="00F7606D" w:rsidRDefault="003C1176" w:rsidP="00302407">
            <w:pPr>
              <w:tabs>
                <w:tab w:val="clear" w:pos="510"/>
              </w:tabs>
              <w:autoSpaceDE w:val="0"/>
              <w:autoSpaceDN w:val="0"/>
              <w:adjustRightInd w:val="0"/>
              <w:spacing w:line="240" w:lineRule="auto"/>
              <w:contextualSpacing/>
              <w:jc w:val="both"/>
              <w:rPr>
                <w:rFonts w:eastAsiaTheme="minorHAnsi" w:cs="AdvPTimes"/>
                <w:szCs w:val="22"/>
                <w:lang w:val="en-GB" w:eastAsia="en-US"/>
              </w:rPr>
            </w:pPr>
            <w:r w:rsidRPr="00F7606D">
              <w:rPr>
                <w:rFonts w:eastAsiaTheme="minorHAnsi" w:cs="AdvPTimes"/>
                <w:szCs w:val="22"/>
                <w:lang w:val="en-GB" w:eastAsia="en-US"/>
              </w:rPr>
              <w:t>- Teriflunomide 14 mg once daily (n=372)</w:t>
            </w:r>
          </w:p>
          <w:p w:rsidR="003C1176" w:rsidRPr="00F7606D" w:rsidRDefault="003C1176" w:rsidP="00302407">
            <w:pPr>
              <w:tabs>
                <w:tab w:val="clear" w:pos="510"/>
              </w:tabs>
              <w:spacing w:line="240" w:lineRule="auto"/>
              <w:contextualSpacing/>
              <w:rPr>
                <w:rFonts w:eastAsiaTheme="minorHAnsi" w:cs="AdvPTimes"/>
                <w:szCs w:val="22"/>
                <w:lang w:val="en-GB" w:eastAsia="en-US"/>
              </w:rPr>
            </w:pPr>
            <w:r w:rsidRPr="00F7606D">
              <w:rPr>
                <w:rFonts w:eastAsiaTheme="minorHAnsi" w:cs="AdvPTimes"/>
                <w:szCs w:val="22"/>
                <w:lang w:val="en-GB" w:eastAsia="en-US"/>
              </w:rPr>
              <w:t>- Teriflunomide 7 mg once daily (n=408)</w:t>
            </w:r>
          </w:p>
          <w:p w:rsidR="003C1176" w:rsidRPr="00F7606D" w:rsidRDefault="003C1176" w:rsidP="00302407">
            <w:pPr>
              <w:tabs>
                <w:tab w:val="clear" w:pos="510"/>
              </w:tabs>
              <w:spacing w:line="240" w:lineRule="auto"/>
              <w:contextualSpacing/>
              <w:rPr>
                <w:bCs/>
                <w:szCs w:val="22"/>
                <w:lang w:val="en-GB"/>
              </w:rPr>
            </w:pPr>
            <w:r w:rsidRPr="00F7606D">
              <w:rPr>
                <w:rFonts w:eastAsiaTheme="minorHAnsi" w:cs="AdvP641C"/>
                <w:szCs w:val="22"/>
                <w:lang w:val="en-GB" w:eastAsia="en-US"/>
              </w:rPr>
              <w:t>- Placebo once daily (n=389)</w:t>
            </w:r>
          </w:p>
        </w:tc>
        <w:tc>
          <w:tcPr>
            <w:tcW w:w="1730" w:type="dxa"/>
            <w:gridSpan w:val="2"/>
          </w:tcPr>
          <w:p w:rsidR="003C1176" w:rsidRPr="00F7606D" w:rsidRDefault="003C1176" w:rsidP="00302407">
            <w:pPr>
              <w:tabs>
                <w:tab w:val="clear" w:pos="510"/>
              </w:tabs>
              <w:spacing w:line="240" w:lineRule="auto"/>
              <w:contextualSpacing/>
              <w:rPr>
                <w:szCs w:val="22"/>
                <w:lang w:val="en-GB"/>
              </w:rPr>
            </w:pPr>
            <w:r w:rsidRPr="00F7606D">
              <w:rPr>
                <w:szCs w:val="22"/>
                <w:lang w:val="en-GB"/>
              </w:rPr>
              <w:t>Mixed</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Up to 48 weeks</w:t>
            </w:r>
          </w:p>
        </w:tc>
      </w:tr>
      <w:tr w:rsidR="003C1176" w:rsidRPr="00F7606D" w:rsidTr="0075275D">
        <w:trPr>
          <w:trHeight w:val="177"/>
        </w:trPr>
        <w:tc>
          <w:tcPr>
            <w:tcW w:w="4046" w:type="dxa"/>
            <w:gridSpan w:val="2"/>
          </w:tcPr>
          <w:p w:rsidR="003C1176" w:rsidRDefault="003C1176" w:rsidP="00302407">
            <w:pPr>
              <w:tabs>
                <w:tab w:val="clear" w:pos="510"/>
              </w:tabs>
              <w:spacing w:line="240" w:lineRule="auto"/>
              <w:contextualSpacing/>
              <w:rPr>
                <w:b/>
                <w:i/>
                <w:szCs w:val="22"/>
                <w:lang w:val="en-GB"/>
              </w:rPr>
            </w:pPr>
            <w:r w:rsidRPr="00F7606D">
              <w:rPr>
                <w:b/>
                <w:i/>
                <w:szCs w:val="22"/>
                <w:lang w:val="en-GB"/>
              </w:rPr>
              <w:t xml:space="preserve">TENERE (2014) </w:t>
            </w:r>
          </w:p>
          <w:p w:rsidR="00DA53AF" w:rsidRPr="00DA53AF" w:rsidRDefault="00DA53AF" w:rsidP="00302407">
            <w:pPr>
              <w:tabs>
                <w:tab w:val="clear" w:pos="510"/>
              </w:tabs>
              <w:spacing w:line="240" w:lineRule="auto"/>
              <w:contextualSpacing/>
              <w:rPr>
                <w:rFonts w:eastAsiaTheme="minorHAnsi"/>
                <w:szCs w:val="22"/>
                <w:lang w:val="en-GB" w:eastAsia="en-US"/>
              </w:rPr>
            </w:pPr>
            <w:r w:rsidRPr="00DA53AF">
              <w:rPr>
                <w:rFonts w:eastAsiaTheme="minorHAnsi"/>
                <w:szCs w:val="22"/>
                <w:lang w:val="en-GB" w:eastAsia="en-US"/>
              </w:rPr>
              <w:t>Vermersch P, Czlonkowska A, Grimaldi LM, Confavreux C, Comi G, Kappos L, et al. Teriflunomide versus subcutaneous interferon beta-1a in patients with relapsing multiple sclerosis: A randomised, controlled phase 3 trial. Mult Scler 2014;20(6):705-716.</w:t>
            </w:r>
          </w:p>
          <w:p w:rsidR="00DA53AF" w:rsidRPr="00F7606D" w:rsidRDefault="00DA53AF" w:rsidP="00302407">
            <w:pPr>
              <w:tabs>
                <w:tab w:val="clear" w:pos="510"/>
              </w:tabs>
              <w:spacing w:line="240" w:lineRule="auto"/>
              <w:contextualSpacing/>
              <w:rPr>
                <w:b/>
                <w:i/>
                <w:szCs w:val="22"/>
                <w:lang w:val="en-GB"/>
              </w:rPr>
            </w:pPr>
          </w:p>
          <w:p w:rsidR="003C1176" w:rsidRPr="00F7606D" w:rsidRDefault="003C1176" w:rsidP="00302407">
            <w:pPr>
              <w:tabs>
                <w:tab w:val="clear" w:pos="510"/>
              </w:tabs>
              <w:spacing w:line="240" w:lineRule="auto"/>
              <w:contextualSpacing/>
              <w:rPr>
                <w:szCs w:val="22"/>
                <w:lang w:val="en-GB"/>
              </w:rPr>
            </w:pPr>
            <w:r w:rsidRPr="00F7606D">
              <w:rPr>
                <w:rFonts w:eastAsiaTheme="minorHAnsi" w:cs="TimesNewRomanPSMT"/>
                <w:szCs w:val="22"/>
                <w:lang w:val="en-GB" w:eastAsia="en-US"/>
              </w:rPr>
              <w:t xml:space="preserve">Rater-blinded study, </w:t>
            </w:r>
            <w:r w:rsidRPr="00F7606D">
              <w:rPr>
                <w:rFonts w:eastAsiaTheme="minorHAnsi"/>
                <w:szCs w:val="22"/>
                <w:lang w:val="en-GB" w:eastAsia="en-US"/>
              </w:rPr>
              <w:t>multicentre study</w:t>
            </w:r>
          </w:p>
        </w:tc>
        <w:tc>
          <w:tcPr>
            <w:tcW w:w="6410" w:type="dxa"/>
          </w:tcPr>
          <w:p w:rsidR="003C1176" w:rsidRPr="00F7606D" w:rsidRDefault="003C1176" w:rsidP="00302407">
            <w:pPr>
              <w:tabs>
                <w:tab w:val="clear" w:pos="510"/>
              </w:tabs>
              <w:autoSpaceDE w:val="0"/>
              <w:autoSpaceDN w:val="0"/>
              <w:adjustRightInd w:val="0"/>
              <w:spacing w:line="240" w:lineRule="auto"/>
              <w:contextualSpacing/>
              <w:jc w:val="both"/>
              <w:rPr>
                <w:rFonts w:eastAsia="GillSansStd" w:cs="GillSansStd"/>
                <w:szCs w:val="22"/>
                <w:lang w:val="en-GB" w:eastAsia="en-US"/>
              </w:rPr>
            </w:pPr>
            <w:r w:rsidRPr="00F7606D">
              <w:rPr>
                <w:rFonts w:eastAsia="GillSansStd" w:cs="GillSansStd"/>
                <w:szCs w:val="22"/>
                <w:lang w:val="en-GB" w:eastAsia="en-US"/>
              </w:rPr>
              <w:t>- Teriflunomide 14 mg oral once daily (n=111)</w:t>
            </w:r>
          </w:p>
          <w:p w:rsidR="003C1176" w:rsidRPr="00F7606D" w:rsidRDefault="003C1176" w:rsidP="00302407">
            <w:pPr>
              <w:tabs>
                <w:tab w:val="clear" w:pos="510"/>
              </w:tabs>
              <w:spacing w:line="240" w:lineRule="auto"/>
              <w:contextualSpacing/>
              <w:rPr>
                <w:rFonts w:eastAsia="GillSansStd" w:cs="GillSansStd"/>
                <w:szCs w:val="22"/>
                <w:lang w:val="en-GB" w:eastAsia="en-US"/>
              </w:rPr>
            </w:pPr>
            <w:r w:rsidRPr="00F7606D">
              <w:rPr>
                <w:rFonts w:eastAsia="GillSansStd" w:cs="GillSansStd"/>
                <w:szCs w:val="22"/>
                <w:lang w:val="en-GB" w:eastAsia="en-US"/>
              </w:rPr>
              <w:t>- Teriflunomide 7 mg oral once daily (n=109)</w:t>
            </w:r>
          </w:p>
          <w:p w:rsidR="003C1176" w:rsidRPr="00F7606D" w:rsidRDefault="003C1176" w:rsidP="00302407">
            <w:pPr>
              <w:tabs>
                <w:tab w:val="clear" w:pos="510"/>
              </w:tabs>
              <w:spacing w:line="240" w:lineRule="auto"/>
              <w:contextualSpacing/>
              <w:rPr>
                <w:bCs/>
                <w:szCs w:val="22"/>
                <w:lang w:val="en-GB"/>
              </w:rPr>
            </w:pPr>
            <w:r w:rsidRPr="00F7606D">
              <w:rPr>
                <w:rFonts w:eastAsiaTheme="minorHAnsi" w:cs="TimesNewRomanPSMT"/>
                <w:szCs w:val="22"/>
                <w:lang w:val="en-GB" w:eastAsia="en-US"/>
              </w:rPr>
              <w:t>- Interferon beta-1a</w:t>
            </w:r>
            <w:r w:rsidRPr="00F7606D">
              <w:rPr>
                <w:rFonts w:eastAsia="GillSansStd" w:cs="GillSansStd"/>
                <w:szCs w:val="22"/>
                <w:lang w:val="en-GB" w:eastAsia="en-US"/>
              </w:rPr>
              <w:t xml:space="preserve"> 44mcg s.c three times/week (n=104)</w:t>
            </w:r>
          </w:p>
        </w:tc>
        <w:tc>
          <w:tcPr>
            <w:tcW w:w="1730" w:type="dxa"/>
            <w:gridSpan w:val="2"/>
          </w:tcPr>
          <w:p w:rsidR="003C1176" w:rsidRPr="00F7606D" w:rsidRDefault="003C1176" w:rsidP="00302407">
            <w:pPr>
              <w:tabs>
                <w:tab w:val="clear" w:pos="510"/>
              </w:tabs>
              <w:spacing w:line="240" w:lineRule="auto"/>
              <w:contextualSpacing/>
              <w:rPr>
                <w:szCs w:val="22"/>
                <w:lang w:val="en-GB"/>
              </w:rPr>
            </w:pPr>
            <w:r w:rsidRPr="00F7606D">
              <w:rPr>
                <w:szCs w:val="22"/>
                <w:lang w:val="en-GB"/>
              </w:rPr>
              <w:t>Mixed</w:t>
            </w:r>
          </w:p>
        </w:tc>
        <w:tc>
          <w:tcPr>
            <w:tcW w:w="1417" w:type="dxa"/>
          </w:tcPr>
          <w:p w:rsidR="003C1176" w:rsidRPr="00F7606D" w:rsidRDefault="003C1176" w:rsidP="00302407">
            <w:pPr>
              <w:tabs>
                <w:tab w:val="clear" w:pos="510"/>
              </w:tabs>
              <w:spacing w:line="240" w:lineRule="auto"/>
              <w:contextualSpacing/>
              <w:rPr>
                <w:szCs w:val="22"/>
                <w:lang w:val="en-GB"/>
              </w:rPr>
            </w:pPr>
            <w:r w:rsidRPr="00F7606D">
              <w:rPr>
                <w:szCs w:val="22"/>
                <w:lang w:val="en-GB"/>
              </w:rPr>
              <w:t>Up to 48 weeks</w:t>
            </w:r>
          </w:p>
        </w:tc>
      </w:tr>
    </w:tbl>
    <w:p w:rsidR="003C1176" w:rsidRDefault="003C1176" w:rsidP="00EA7D99">
      <w:pPr>
        <w:rPr>
          <w:i/>
          <w:sz w:val="18"/>
          <w:szCs w:val="18"/>
        </w:rPr>
      </w:pPr>
      <w:r w:rsidRPr="00F7606D">
        <w:rPr>
          <w:i/>
          <w:color w:val="000000"/>
          <w:sz w:val="18"/>
          <w:szCs w:val="18"/>
        </w:rPr>
        <w:t xml:space="preserve">mg=milligrams, </w:t>
      </w:r>
      <w:r w:rsidRPr="00F7606D">
        <w:rPr>
          <w:i/>
          <w:sz w:val="18"/>
          <w:szCs w:val="18"/>
        </w:rPr>
        <w:t>mcg=micrograms, SC= subcutaneous; q.d.= once daily, q.w.=. once weekly, t.i.w.= three times weekly, IM= intra muscular</w:t>
      </w:r>
    </w:p>
    <w:p w:rsidR="003C1176" w:rsidRDefault="003C1176" w:rsidP="00EA7D99"/>
    <w:p w:rsidR="003C1176" w:rsidRDefault="003C1176" w:rsidP="00EA7D99"/>
    <w:p w:rsidR="003C1176" w:rsidRDefault="003C1176" w:rsidP="00EA7D99">
      <w:pPr>
        <w:sectPr w:rsidR="003C1176" w:rsidSect="00EA7D99">
          <w:pgSz w:w="16838" w:h="11906" w:orient="landscape"/>
          <w:pgMar w:top="1418" w:right="1418" w:bottom="1418" w:left="1418" w:header="709" w:footer="709" w:gutter="0"/>
          <w:cols w:space="708"/>
          <w:docGrid w:linePitch="360"/>
        </w:sectPr>
      </w:pPr>
    </w:p>
    <w:p w:rsidR="007B226E" w:rsidRPr="007F3BF7" w:rsidRDefault="007B226E" w:rsidP="000D044E">
      <w:pPr>
        <w:pStyle w:val="20"/>
        <w:numPr>
          <w:ilvl w:val="0"/>
          <w:numId w:val="0"/>
        </w:numPr>
        <w:rPr>
          <w:rFonts w:ascii="Times New Roman" w:hAnsi="Times New Roman" w:cs="Times New Roman"/>
          <w:sz w:val="28"/>
        </w:rPr>
      </w:pPr>
      <w:r w:rsidRPr="007F3BF7">
        <w:rPr>
          <w:rFonts w:ascii="Times New Roman" w:hAnsi="Times New Roman" w:cs="Times New Roman"/>
          <w:sz w:val="28"/>
        </w:rPr>
        <w:t xml:space="preserve">Supplementary material </w:t>
      </w:r>
      <w:r w:rsidR="000D044E">
        <w:rPr>
          <w:rFonts w:ascii="Times New Roman" w:hAnsi="Times New Roman" w:cs="Times New Roman"/>
          <w:sz w:val="28"/>
        </w:rPr>
        <w:t>9</w:t>
      </w:r>
      <w:r>
        <w:rPr>
          <w:rFonts w:ascii="Times New Roman" w:hAnsi="Times New Roman" w:cs="Times New Roman"/>
          <w:sz w:val="28"/>
        </w:rPr>
        <w:t xml:space="preserve"> E</w:t>
      </w:r>
      <w:r w:rsidRPr="007F3BF7">
        <w:rPr>
          <w:rFonts w:ascii="Times New Roman" w:hAnsi="Times New Roman" w:cs="Times New Roman"/>
          <w:sz w:val="28"/>
        </w:rPr>
        <w:t>xcluded trials</w:t>
      </w:r>
      <w:r>
        <w:rPr>
          <w:rFonts w:ascii="Times New Roman" w:hAnsi="Times New Roman" w:cs="Times New Roman"/>
          <w:sz w:val="28"/>
        </w:rPr>
        <w:t xml:space="preserve"> and the reasons for the exclusions</w:t>
      </w:r>
    </w:p>
    <w:p w:rsidR="007B226E" w:rsidRPr="007F3BF7" w:rsidRDefault="007B226E" w:rsidP="007B226E">
      <w:pPr>
        <w:pStyle w:val="a1"/>
        <w:rPr>
          <w:lang w:val="en-GB"/>
        </w:rPr>
      </w:pPr>
      <w:r w:rsidRPr="007F3BF7">
        <w:rPr>
          <w:lang w:val="en-GB"/>
        </w:rPr>
        <w:t>Information on the following tables:</w:t>
      </w:r>
      <w:r w:rsidRPr="007F3BF7">
        <w:rPr>
          <w:lang w:val="en-GB"/>
        </w:rPr>
        <w:tab/>
      </w:r>
    </w:p>
    <w:p w:rsidR="007B226E" w:rsidRPr="00B4105F" w:rsidRDefault="007B226E" w:rsidP="007B226E">
      <w:pPr>
        <w:pStyle w:val="a1"/>
      </w:pPr>
      <w:r w:rsidRPr="00F7606D">
        <w:rPr>
          <w:lang w:val="en-GB"/>
        </w:rPr>
        <w:tab/>
      </w:r>
      <w:r w:rsidRPr="00B4105F">
        <w:t>CIS= Clinical Isolated Syndrome</w:t>
      </w:r>
    </w:p>
    <w:p w:rsidR="007B226E" w:rsidRPr="00B4105F" w:rsidRDefault="007B226E" w:rsidP="007B226E">
      <w:pPr>
        <w:pStyle w:val="a1"/>
      </w:pPr>
      <w:r w:rsidRPr="00B4105F">
        <w:tab/>
        <w:t>P= population</w:t>
      </w:r>
    </w:p>
    <w:p w:rsidR="007B226E" w:rsidRPr="00F7606D" w:rsidRDefault="007B226E" w:rsidP="007B226E">
      <w:pPr>
        <w:pStyle w:val="a1"/>
      </w:pPr>
      <w:r w:rsidRPr="00B4105F">
        <w:rPr>
          <w:lang w:val="fr-FR"/>
        </w:rPr>
        <w:tab/>
      </w:r>
      <w:r w:rsidRPr="00F7606D">
        <w:t>I=Intervention</w:t>
      </w:r>
    </w:p>
    <w:p w:rsidR="007B226E" w:rsidRPr="00F7606D" w:rsidRDefault="007B226E" w:rsidP="007B226E">
      <w:pPr>
        <w:pStyle w:val="a1"/>
      </w:pPr>
      <w:r w:rsidRPr="00F7606D">
        <w:tab/>
        <w:t>C=Comparator</w:t>
      </w:r>
    </w:p>
    <w:p w:rsidR="007B226E" w:rsidRPr="00F7606D" w:rsidRDefault="007B226E" w:rsidP="007B226E">
      <w:pPr>
        <w:pStyle w:val="a1"/>
      </w:pPr>
      <w:r w:rsidRPr="00F7606D">
        <w:tab/>
        <w:t>S=Study design</w:t>
      </w:r>
    </w:p>
    <w:p w:rsidR="007B226E" w:rsidRPr="007F3BF7" w:rsidRDefault="007B226E" w:rsidP="007B226E">
      <w:pPr>
        <w:pStyle w:val="a1"/>
        <w:rPr>
          <w:lang w:val="en-GB"/>
        </w:rPr>
      </w:pPr>
      <w:r w:rsidRPr="007F3BF7">
        <w:rPr>
          <w:lang w:val="en-GB"/>
        </w:rPr>
        <w:tab/>
        <w:t>Y=Yes (the study fits that criteria)</w:t>
      </w:r>
    </w:p>
    <w:p w:rsidR="007B226E" w:rsidRDefault="007B226E" w:rsidP="007B226E">
      <w:pPr>
        <w:pStyle w:val="a1"/>
        <w:rPr>
          <w:lang w:val="en-GB"/>
        </w:rPr>
      </w:pPr>
      <w:r w:rsidRPr="007F3BF7">
        <w:rPr>
          <w:lang w:val="en-GB"/>
        </w:rPr>
        <w:tab/>
        <w:t>N=No (the study does not fit that criteria)</w:t>
      </w:r>
    </w:p>
    <w:p w:rsidR="007B226E" w:rsidRDefault="007B226E" w:rsidP="007B226E">
      <w:pPr>
        <w:pStyle w:val="a1"/>
        <w:numPr>
          <w:ilvl w:val="0"/>
          <w:numId w:val="0"/>
        </w:numPr>
        <w:ind w:left="340" w:hanging="340"/>
        <w:rPr>
          <w:lang w:val="en-GB"/>
        </w:rPr>
      </w:pPr>
    </w:p>
    <w:tbl>
      <w:tblPr>
        <w:tblStyle w:val="afff"/>
        <w:tblW w:w="9923" w:type="dxa"/>
        <w:tblInd w:w="-5" w:type="dxa"/>
        <w:tblLayout w:type="fixed"/>
        <w:tblLook w:val="04A0"/>
      </w:tblPr>
      <w:tblGrid>
        <w:gridCol w:w="4536"/>
        <w:gridCol w:w="567"/>
        <w:gridCol w:w="993"/>
        <w:gridCol w:w="425"/>
        <w:gridCol w:w="425"/>
        <w:gridCol w:w="425"/>
        <w:gridCol w:w="426"/>
        <w:gridCol w:w="567"/>
        <w:gridCol w:w="1559"/>
      </w:tblGrid>
      <w:tr w:rsidR="007B226E" w:rsidRPr="00F7606D" w:rsidTr="00435B8F">
        <w:tc>
          <w:tcPr>
            <w:tcW w:w="4536" w:type="dxa"/>
            <w:shd w:val="clear" w:color="auto" w:fill="D9D9D9" w:themeFill="background1" w:themeFillShade="D9"/>
          </w:tcPr>
          <w:p w:rsidR="007B226E" w:rsidRPr="00F7606D" w:rsidRDefault="007B226E" w:rsidP="00435B8F">
            <w:pPr>
              <w:autoSpaceDE w:val="0"/>
              <w:autoSpaceDN w:val="0"/>
              <w:adjustRightInd w:val="0"/>
              <w:spacing w:line="240" w:lineRule="auto"/>
              <w:contextualSpacing/>
              <w:rPr>
                <w:rFonts w:cs="Segoe UI"/>
                <w:b/>
                <w:sz w:val="18"/>
                <w:szCs w:val="18"/>
                <w:lang w:val="en-GB"/>
              </w:rPr>
            </w:pPr>
          </w:p>
        </w:tc>
        <w:tc>
          <w:tcPr>
            <w:tcW w:w="567" w:type="dxa"/>
            <w:shd w:val="clear" w:color="auto" w:fill="D9D9D9" w:themeFill="background1" w:themeFillShade="D9"/>
            <w:vAlign w:val="center"/>
          </w:tcPr>
          <w:p w:rsidR="007B226E" w:rsidRPr="00F7606D" w:rsidRDefault="007B226E" w:rsidP="00435B8F">
            <w:pPr>
              <w:autoSpaceDE w:val="0"/>
              <w:autoSpaceDN w:val="0"/>
              <w:adjustRightInd w:val="0"/>
              <w:spacing w:line="240" w:lineRule="auto"/>
              <w:contextualSpacing/>
              <w:jc w:val="center"/>
              <w:rPr>
                <w:rFonts w:cs="Segoe UI"/>
                <w:b/>
                <w:sz w:val="18"/>
                <w:szCs w:val="18"/>
                <w:lang w:val="en-GB"/>
              </w:rPr>
            </w:pPr>
            <w:r w:rsidRPr="00F7606D">
              <w:rPr>
                <w:rFonts w:cs="Segoe UI"/>
                <w:b/>
                <w:sz w:val="18"/>
                <w:szCs w:val="18"/>
                <w:lang w:val="en-GB"/>
              </w:rPr>
              <w:t>CIS</w:t>
            </w:r>
          </w:p>
        </w:tc>
        <w:tc>
          <w:tcPr>
            <w:tcW w:w="993" w:type="dxa"/>
            <w:shd w:val="clear" w:color="auto" w:fill="D9D9D9" w:themeFill="background1" w:themeFillShade="D9"/>
            <w:vAlign w:val="center"/>
          </w:tcPr>
          <w:p w:rsidR="007B226E" w:rsidRPr="00F7606D" w:rsidRDefault="007B226E" w:rsidP="00435B8F">
            <w:pPr>
              <w:autoSpaceDE w:val="0"/>
              <w:autoSpaceDN w:val="0"/>
              <w:adjustRightInd w:val="0"/>
              <w:spacing w:line="240" w:lineRule="auto"/>
              <w:contextualSpacing/>
              <w:jc w:val="center"/>
              <w:rPr>
                <w:rFonts w:cs="Segoe UI"/>
                <w:b/>
                <w:sz w:val="18"/>
                <w:szCs w:val="18"/>
                <w:lang w:val="en-GB"/>
              </w:rPr>
            </w:pPr>
            <w:r w:rsidRPr="00F7606D">
              <w:rPr>
                <w:rFonts w:cs="Segoe UI"/>
                <w:b/>
                <w:sz w:val="18"/>
                <w:szCs w:val="18"/>
                <w:lang w:val="en-GB"/>
              </w:rPr>
              <w:t>Publication date</w:t>
            </w:r>
          </w:p>
        </w:tc>
        <w:tc>
          <w:tcPr>
            <w:tcW w:w="425" w:type="dxa"/>
            <w:shd w:val="clear" w:color="auto" w:fill="D9D9D9" w:themeFill="background1" w:themeFillShade="D9"/>
            <w:vAlign w:val="center"/>
          </w:tcPr>
          <w:p w:rsidR="007B226E" w:rsidRPr="00F7606D" w:rsidRDefault="007B226E" w:rsidP="00435B8F">
            <w:pPr>
              <w:autoSpaceDE w:val="0"/>
              <w:autoSpaceDN w:val="0"/>
              <w:adjustRightInd w:val="0"/>
              <w:spacing w:line="240" w:lineRule="auto"/>
              <w:contextualSpacing/>
              <w:jc w:val="center"/>
              <w:rPr>
                <w:rFonts w:cs="Segoe UI"/>
                <w:b/>
                <w:sz w:val="18"/>
                <w:szCs w:val="18"/>
                <w:lang w:val="en-GB"/>
              </w:rPr>
            </w:pPr>
            <w:r w:rsidRPr="00F7606D">
              <w:rPr>
                <w:rFonts w:cs="Segoe UI"/>
                <w:b/>
                <w:sz w:val="18"/>
                <w:szCs w:val="18"/>
                <w:lang w:val="en-GB"/>
              </w:rPr>
              <w:t>P</w:t>
            </w:r>
          </w:p>
        </w:tc>
        <w:tc>
          <w:tcPr>
            <w:tcW w:w="425" w:type="dxa"/>
            <w:shd w:val="clear" w:color="auto" w:fill="D9D9D9" w:themeFill="background1" w:themeFillShade="D9"/>
            <w:vAlign w:val="center"/>
          </w:tcPr>
          <w:p w:rsidR="007B226E" w:rsidRPr="00F7606D" w:rsidRDefault="007B226E" w:rsidP="00435B8F">
            <w:pPr>
              <w:autoSpaceDE w:val="0"/>
              <w:autoSpaceDN w:val="0"/>
              <w:adjustRightInd w:val="0"/>
              <w:spacing w:line="240" w:lineRule="auto"/>
              <w:contextualSpacing/>
              <w:jc w:val="center"/>
              <w:rPr>
                <w:rFonts w:cs="Segoe UI"/>
                <w:b/>
                <w:sz w:val="18"/>
                <w:szCs w:val="18"/>
                <w:lang w:val="en-GB"/>
              </w:rPr>
            </w:pPr>
            <w:r w:rsidRPr="00F7606D">
              <w:rPr>
                <w:rFonts w:cs="Segoe UI"/>
                <w:b/>
                <w:sz w:val="18"/>
                <w:szCs w:val="18"/>
                <w:lang w:val="en-GB"/>
              </w:rPr>
              <w:t>I</w:t>
            </w:r>
          </w:p>
        </w:tc>
        <w:tc>
          <w:tcPr>
            <w:tcW w:w="425" w:type="dxa"/>
            <w:shd w:val="clear" w:color="auto" w:fill="D9D9D9" w:themeFill="background1" w:themeFillShade="D9"/>
            <w:vAlign w:val="center"/>
          </w:tcPr>
          <w:p w:rsidR="007B226E" w:rsidRPr="00F7606D" w:rsidRDefault="007B226E" w:rsidP="00435B8F">
            <w:pPr>
              <w:autoSpaceDE w:val="0"/>
              <w:autoSpaceDN w:val="0"/>
              <w:adjustRightInd w:val="0"/>
              <w:spacing w:line="240" w:lineRule="auto"/>
              <w:contextualSpacing/>
              <w:jc w:val="center"/>
              <w:rPr>
                <w:rFonts w:cs="Segoe UI"/>
                <w:b/>
                <w:sz w:val="18"/>
                <w:szCs w:val="18"/>
                <w:lang w:val="en-GB"/>
              </w:rPr>
            </w:pPr>
            <w:r w:rsidRPr="00F7606D">
              <w:rPr>
                <w:rFonts w:cs="Segoe UI"/>
                <w:b/>
                <w:sz w:val="18"/>
                <w:szCs w:val="18"/>
                <w:lang w:val="en-GB"/>
              </w:rPr>
              <w:t>C</w:t>
            </w:r>
          </w:p>
        </w:tc>
        <w:tc>
          <w:tcPr>
            <w:tcW w:w="426" w:type="dxa"/>
            <w:shd w:val="clear" w:color="auto" w:fill="D9D9D9" w:themeFill="background1" w:themeFillShade="D9"/>
            <w:vAlign w:val="center"/>
          </w:tcPr>
          <w:p w:rsidR="007B226E" w:rsidRPr="00F7606D" w:rsidRDefault="007B226E" w:rsidP="00435B8F">
            <w:pPr>
              <w:autoSpaceDE w:val="0"/>
              <w:autoSpaceDN w:val="0"/>
              <w:adjustRightInd w:val="0"/>
              <w:spacing w:line="240" w:lineRule="auto"/>
              <w:contextualSpacing/>
              <w:jc w:val="center"/>
              <w:rPr>
                <w:rFonts w:cs="Segoe UI"/>
                <w:b/>
                <w:sz w:val="18"/>
                <w:szCs w:val="18"/>
                <w:lang w:val="en-GB"/>
              </w:rPr>
            </w:pPr>
            <w:r w:rsidRPr="00F7606D">
              <w:rPr>
                <w:rFonts w:cs="Segoe UI"/>
                <w:b/>
                <w:sz w:val="18"/>
                <w:szCs w:val="18"/>
                <w:lang w:val="en-GB"/>
              </w:rPr>
              <w:t>O</w:t>
            </w:r>
          </w:p>
        </w:tc>
        <w:tc>
          <w:tcPr>
            <w:tcW w:w="567" w:type="dxa"/>
            <w:shd w:val="clear" w:color="auto" w:fill="D9D9D9" w:themeFill="background1" w:themeFillShade="D9"/>
            <w:vAlign w:val="center"/>
          </w:tcPr>
          <w:p w:rsidR="007B226E" w:rsidRPr="00F7606D" w:rsidRDefault="007B226E" w:rsidP="00435B8F">
            <w:pPr>
              <w:autoSpaceDE w:val="0"/>
              <w:autoSpaceDN w:val="0"/>
              <w:adjustRightInd w:val="0"/>
              <w:spacing w:line="240" w:lineRule="auto"/>
              <w:contextualSpacing/>
              <w:jc w:val="center"/>
              <w:rPr>
                <w:rFonts w:cs="Segoe UI"/>
                <w:b/>
                <w:sz w:val="18"/>
                <w:szCs w:val="18"/>
                <w:lang w:val="en-GB"/>
              </w:rPr>
            </w:pPr>
            <w:r w:rsidRPr="00F7606D">
              <w:rPr>
                <w:rFonts w:cs="Segoe UI"/>
                <w:b/>
                <w:sz w:val="18"/>
                <w:szCs w:val="18"/>
                <w:lang w:val="en-GB"/>
              </w:rPr>
              <w:t>S</w:t>
            </w:r>
          </w:p>
        </w:tc>
        <w:tc>
          <w:tcPr>
            <w:tcW w:w="1559" w:type="dxa"/>
            <w:shd w:val="clear" w:color="auto" w:fill="D9D9D9" w:themeFill="background1" w:themeFillShade="D9"/>
            <w:vAlign w:val="center"/>
          </w:tcPr>
          <w:p w:rsidR="007B226E" w:rsidRPr="00F7606D" w:rsidRDefault="007B226E" w:rsidP="00435B8F">
            <w:pPr>
              <w:autoSpaceDE w:val="0"/>
              <w:autoSpaceDN w:val="0"/>
              <w:adjustRightInd w:val="0"/>
              <w:spacing w:line="240" w:lineRule="auto"/>
              <w:contextualSpacing/>
              <w:jc w:val="center"/>
              <w:rPr>
                <w:rFonts w:cs="Segoe UI"/>
                <w:b/>
                <w:sz w:val="18"/>
                <w:szCs w:val="18"/>
                <w:lang w:val="en-GB"/>
              </w:rPr>
            </w:pPr>
            <w:r w:rsidRPr="00F7606D">
              <w:rPr>
                <w:rFonts w:cs="Segoe UI"/>
                <w:b/>
                <w:sz w:val="18"/>
                <w:szCs w:val="18"/>
                <w:lang w:val="en-GB"/>
              </w:rPr>
              <w:t>Exclusion/comments</w:t>
            </w:r>
          </w:p>
        </w:tc>
      </w:tr>
      <w:tr w:rsidR="007B226E" w:rsidRPr="00685670"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bCs/>
                <w:sz w:val="18"/>
                <w:szCs w:val="18"/>
                <w:lang w:val="en-GB"/>
              </w:rPr>
              <w:t>Corrections to Safety and efficacy of fingolimod in patients with relapsing-remitting multiple sclerosis (FREEDOMS II): A double-blind, randomised, placebo-controlled, phase 3 trial. [Lancet Neurol 13 (2014) 545-56]</w:t>
            </w:r>
            <w:r w:rsidRPr="00F7606D">
              <w:rPr>
                <w:rFonts w:cs="Segoe UI"/>
                <w:sz w:val="18"/>
                <w:szCs w:val="18"/>
                <w:lang w:val="en-GB"/>
              </w:rPr>
              <w:t>. The Lancet Neurology 2014;13(6):536.</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Correction updated in online version</w:t>
            </w:r>
          </w:p>
        </w:tc>
      </w:tr>
      <w:tr w:rsidR="007B226E" w:rsidRPr="00685670"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Agius M, Meng X, Chin P, Grinspan A, Hashmonay R. </w:t>
            </w:r>
            <w:r w:rsidRPr="00F7606D">
              <w:rPr>
                <w:rFonts w:cs="Segoe UI"/>
                <w:bCs/>
                <w:sz w:val="18"/>
                <w:szCs w:val="18"/>
                <w:lang w:val="en-GB"/>
              </w:rPr>
              <w:t>Fingolimod therapy in early multiple sclerosis: An efficacy analysis of the transforms and freedoms studies by time since first symptom</w:t>
            </w:r>
            <w:r w:rsidRPr="00F7606D">
              <w:rPr>
                <w:rFonts w:cs="Segoe UI"/>
                <w:sz w:val="18"/>
                <w:szCs w:val="18"/>
                <w:lang w:val="en-GB"/>
              </w:rPr>
              <w:t>. CNS Neuroscience and Therapeutics 2014;20(5):446-451.</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Y</w:t>
            </w: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Y</w:t>
            </w: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Y</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Y</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subgroups of patients &lt;3 yrs since their first MS symptom</w:t>
            </w:r>
          </w:p>
        </w:tc>
      </w:tr>
      <w:tr w:rsidR="007B226E" w:rsidRPr="00F7606D" w:rsidTr="00435B8F">
        <w:tc>
          <w:tcPr>
            <w:tcW w:w="4536" w:type="dxa"/>
            <w:shd w:val="clear" w:color="auto" w:fill="auto"/>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Arnold DL, Calabresi PA, Kieseier BC, Sheikh SI, Deykin A, Liu S, et al. </w:t>
            </w:r>
            <w:r w:rsidRPr="00F7606D">
              <w:rPr>
                <w:rFonts w:cs="Segoe UI"/>
                <w:bCs/>
                <w:sz w:val="18"/>
                <w:szCs w:val="18"/>
                <w:lang w:val="en-GB"/>
              </w:rPr>
              <w:t>Effect of peg-interferon beta-1a on MRI measures and freedom from measured disease activity: 2-year results from the phase 3 ADVANCE study</w:t>
            </w:r>
            <w:r w:rsidRPr="00F7606D">
              <w:rPr>
                <w:rFonts w:cs="Segoe UI"/>
                <w:sz w:val="18"/>
                <w:szCs w:val="18"/>
                <w:lang w:val="en-GB"/>
              </w:rPr>
              <w:t>. Mult Scler 2014;1):97.</w:t>
            </w:r>
          </w:p>
        </w:tc>
        <w:tc>
          <w:tcPr>
            <w:tcW w:w="567"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r>
      <w:tr w:rsidR="007B226E" w:rsidRPr="00685670" w:rsidTr="00435B8F">
        <w:tc>
          <w:tcPr>
            <w:tcW w:w="4536" w:type="dxa"/>
            <w:shd w:val="clear" w:color="auto" w:fill="auto"/>
          </w:tcPr>
          <w:p w:rsidR="007B226E" w:rsidRPr="00F7606D" w:rsidRDefault="007B226E" w:rsidP="004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Segoe UI"/>
                <w:color w:val="000000"/>
                <w:sz w:val="18"/>
                <w:szCs w:val="18"/>
                <w:lang w:val="en-GB"/>
              </w:rPr>
            </w:pPr>
            <w:r w:rsidRPr="00F7606D">
              <w:rPr>
                <w:rFonts w:cs="Segoe UI"/>
                <w:color w:val="000000"/>
                <w:sz w:val="18"/>
                <w:szCs w:val="18"/>
                <w:lang w:val="en-GB"/>
              </w:rPr>
              <w:t>Arnold DL, Calabresi PA, Kieseier BC, Sheikh SI, Deykin A, Zhu Y, Liu S, You X, Sperling B, Hung S. Effect of peg-interferon beta-1a on MRI measures and achieving no evidence of disease activity: results from a randomized controlled trial in relapsing-remitting multiple sclerosis. BMC Neurol. 2014 Dec</w:t>
            </w:r>
          </w:p>
          <w:p w:rsidR="007B226E" w:rsidRPr="00F7606D" w:rsidRDefault="007B226E" w:rsidP="004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Segoe UI"/>
                <w:color w:val="000000"/>
                <w:sz w:val="18"/>
                <w:szCs w:val="18"/>
                <w:lang w:val="en-GB"/>
              </w:rPr>
            </w:pPr>
            <w:r w:rsidRPr="00F7606D">
              <w:rPr>
                <w:rFonts w:cs="Segoe UI"/>
                <w:color w:val="000000"/>
                <w:sz w:val="18"/>
                <w:szCs w:val="18"/>
                <w:lang w:val="en-GB"/>
              </w:rPr>
              <w:t>31;14(1):1058.</w:t>
            </w:r>
          </w:p>
        </w:tc>
        <w:tc>
          <w:tcPr>
            <w:tcW w:w="567"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Y</w:t>
            </w:r>
          </w:p>
        </w:tc>
        <w:tc>
          <w:tcPr>
            <w:tcW w:w="425"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Y</w:t>
            </w:r>
          </w:p>
        </w:tc>
        <w:tc>
          <w:tcPr>
            <w:tcW w:w="425"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Y</w:t>
            </w:r>
          </w:p>
        </w:tc>
        <w:tc>
          <w:tcPr>
            <w:tcW w:w="426"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567"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1559"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ADVANCE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Combined outcome of relapse and disability progression</w:t>
            </w:r>
          </w:p>
        </w:tc>
      </w:tr>
      <w:tr w:rsidR="007B226E" w:rsidRPr="00F7606D" w:rsidTr="00435B8F">
        <w:tc>
          <w:tcPr>
            <w:tcW w:w="4536" w:type="dxa"/>
            <w:shd w:val="clear" w:color="auto" w:fill="auto"/>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Brinar V, Arnold DL, Cohen J, Coles AJ, Fox EJ, Hartung HP, et al. </w:t>
            </w:r>
            <w:r w:rsidRPr="00F7606D">
              <w:rPr>
                <w:rFonts w:cs="Segoe UI"/>
                <w:bCs/>
                <w:sz w:val="18"/>
                <w:szCs w:val="18"/>
                <w:lang w:val="en-GB"/>
              </w:rPr>
              <w:t>Alemtuzumab improves expanded disability status scale (EDSS) via effects on functional systems: CARE-MS II</w:t>
            </w:r>
            <w:r w:rsidRPr="00F7606D">
              <w:rPr>
                <w:rFonts w:cs="Segoe UI"/>
                <w:sz w:val="18"/>
                <w:szCs w:val="18"/>
                <w:lang w:val="en-GB"/>
              </w:rPr>
              <w:t>. Mult Scler 2013;1):283-284.</w:t>
            </w:r>
          </w:p>
        </w:tc>
        <w:tc>
          <w:tcPr>
            <w:tcW w:w="567"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Calabresi PA, Kieseier BC, Arnold DL, Balcer L, Boyko A, Pelletier J, et al. </w:t>
            </w:r>
            <w:r w:rsidRPr="00F7606D">
              <w:rPr>
                <w:rFonts w:cs="Segoe UI"/>
                <w:bCs/>
                <w:sz w:val="18"/>
                <w:szCs w:val="18"/>
                <w:lang w:val="en-GB"/>
              </w:rPr>
              <w:t>Clinical efficacy of peg-interferon beta-1a in relapsingremitting multiple sclerosis: 2-year data from the phase 3 ADVANCE study</w:t>
            </w:r>
            <w:r w:rsidRPr="00F7606D">
              <w:rPr>
                <w:rFonts w:cs="Segoe UI"/>
                <w:sz w:val="18"/>
                <w:szCs w:val="18"/>
                <w:lang w:val="en-GB"/>
              </w:rPr>
              <w:t>. Mult Scler 2014;1):42-43.</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sz w:val="18"/>
                <w:szCs w:val="18"/>
                <w:lang w:val="en-GB"/>
              </w:rPr>
              <w:br w:type="page"/>
            </w:r>
            <w:r w:rsidRPr="00F7606D">
              <w:rPr>
                <w:rFonts w:cs="Segoe UI"/>
                <w:sz w:val="18"/>
                <w:szCs w:val="18"/>
                <w:lang w:val="en-GB"/>
              </w:rPr>
              <w:t xml:space="preserve">Cascione M, Gaines C, Fang J, Dangond F, Miller A. </w:t>
            </w:r>
            <w:r w:rsidRPr="00F7606D">
              <w:rPr>
                <w:rFonts w:cs="Segoe UI"/>
                <w:bCs/>
                <w:sz w:val="18"/>
                <w:szCs w:val="18"/>
                <w:lang w:val="en-GB"/>
              </w:rPr>
              <w:t>Early and consistent reduction in relapses among patients with relapsing-remitting multiple sclerosis receiving subcutaneous interferon beta-1a: A post-hoc analysis of prisms data</w:t>
            </w:r>
            <w:r w:rsidRPr="00F7606D">
              <w:rPr>
                <w:rFonts w:cs="Segoe UI"/>
                <w:sz w:val="18"/>
                <w:szCs w:val="18"/>
                <w:lang w:val="en-GB"/>
              </w:rPr>
              <w:t>. Neurology 2014;1).</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685670"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Cascione M, Wynn D, Barbato LM, Pestreich L, Schofield L, McCague K. </w:t>
            </w:r>
            <w:r w:rsidRPr="00F7606D">
              <w:rPr>
                <w:rFonts w:cs="Segoe UI"/>
                <w:bCs/>
                <w:sz w:val="18"/>
                <w:szCs w:val="18"/>
                <w:lang w:val="en-GB"/>
              </w:rPr>
              <w:t>Randomized, open-label study to evaluate patient-reported outcomes with fingolimod after changing from prior disease-modifying therapy for relapsing multiple sclerosis: EPOC study rationale and design</w:t>
            </w:r>
            <w:r w:rsidRPr="00F7606D">
              <w:rPr>
                <w:rFonts w:cs="Segoe UI"/>
                <w:sz w:val="18"/>
                <w:szCs w:val="18"/>
                <w:lang w:val="en-GB"/>
              </w:rPr>
              <w:t>. J Med Econ 2013;16(7):859-865.</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The comparator is disease-modifying therapies.</w:t>
            </w:r>
          </w:p>
        </w:tc>
      </w:tr>
      <w:tr w:rsidR="007B226E" w:rsidRPr="00685670"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62BC7">
              <w:rPr>
                <w:rFonts w:cs="Segoe UI"/>
                <w:sz w:val="18"/>
                <w:szCs w:val="18"/>
                <w:lang w:val="en-US"/>
              </w:rPr>
              <w:t xml:space="preserve">Chan A, Phillips JT, Fox RJ, Zhang A, Okwuokenye M, Kurukulasuriya NC. </w:t>
            </w:r>
            <w:r w:rsidRPr="00F7606D">
              <w:rPr>
                <w:rFonts w:cs="Segoe UI"/>
                <w:bCs/>
                <w:sz w:val="18"/>
                <w:szCs w:val="18"/>
                <w:lang w:val="en-GB"/>
              </w:rPr>
              <w:t>Differential recovery from relapse between treatment groups in the CONFIRM study of delayed-release dimethyl fumarate</w:t>
            </w:r>
            <w:r w:rsidRPr="00F7606D">
              <w:rPr>
                <w:rFonts w:cs="Segoe UI"/>
                <w:sz w:val="18"/>
                <w:szCs w:val="18"/>
                <w:lang w:val="en-GB"/>
              </w:rPr>
              <w:t>. Mult Scler 2014;1):110.</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r>
      <w:tr w:rsidR="007B226E" w:rsidRPr="00685670"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Cofield SS, Gustafson T, Cutter GR, Wolinsky JS, Lublin FD. </w:t>
            </w:r>
            <w:r w:rsidRPr="00F7606D">
              <w:rPr>
                <w:rFonts w:cs="Segoe UI"/>
                <w:bCs/>
                <w:sz w:val="18"/>
                <w:szCs w:val="18"/>
                <w:lang w:val="en-GB"/>
              </w:rPr>
              <w:t>Physician and participant treatment guesses in the double-blind CombiRx study</w:t>
            </w:r>
            <w:r w:rsidRPr="00F7606D">
              <w:rPr>
                <w:rFonts w:cs="Segoe UI"/>
                <w:sz w:val="18"/>
                <w:szCs w:val="18"/>
                <w:lang w:val="en-GB"/>
              </w:rPr>
              <w:t>. Mult Scler 2014;1):111-112.</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685670"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421F7">
              <w:rPr>
                <w:rFonts w:cs="Segoe UI"/>
                <w:sz w:val="18"/>
                <w:szCs w:val="18"/>
              </w:rPr>
              <w:t xml:space="preserve">Cohen JA, Belova A, Selmaj K, Wolf C, Oberye JJL, Van Den Tweel ERW, et al. </w:t>
            </w:r>
            <w:r w:rsidRPr="00F7606D">
              <w:rPr>
                <w:rFonts w:cs="Segoe UI"/>
                <w:bCs/>
                <w:sz w:val="18"/>
                <w:szCs w:val="18"/>
                <w:lang w:val="en-GB"/>
              </w:rPr>
              <w:t>Generic glatiramer acetate is equivalent to copaxone on efficacy and safety: Results of the randomized doubleblind GATE trial in multiple sclerosis</w:t>
            </w:r>
            <w:r w:rsidRPr="00F7606D">
              <w:rPr>
                <w:rFonts w:cs="Segoe UI"/>
                <w:sz w:val="18"/>
                <w:szCs w:val="18"/>
                <w:lang w:val="en-GB"/>
              </w:rPr>
              <w:t xml:space="preserve">. Mult Scler 2014;1):38-39. </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r>
      <w:tr w:rsidR="007B226E" w:rsidRPr="00685670"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421F7">
              <w:rPr>
                <w:rFonts w:cs="Segoe UI"/>
                <w:sz w:val="18"/>
                <w:szCs w:val="18"/>
              </w:rPr>
              <w:t xml:space="preserve">Comi G, Freedman MS, Kappos L, Miller AE, Olsson TP, Wolinsky JS, et al. </w:t>
            </w:r>
            <w:r w:rsidRPr="00F7606D">
              <w:rPr>
                <w:rFonts w:cs="Segoe UI"/>
                <w:bCs/>
                <w:sz w:val="18"/>
                <w:szCs w:val="18"/>
                <w:lang w:val="en-GB"/>
              </w:rPr>
              <w:t>Effect of teriflunomide on lymphocyte and neutrophil counts: Pooled analyses from four placebo-controlled studies</w:t>
            </w:r>
            <w:r w:rsidRPr="00F7606D">
              <w:rPr>
                <w:rFonts w:cs="Segoe UI"/>
                <w:sz w:val="18"/>
                <w:szCs w:val="18"/>
                <w:lang w:val="en-GB"/>
              </w:rPr>
              <w:t xml:space="preserve">. Mult Scler 2014;1):93-94. </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62BC7">
              <w:rPr>
                <w:rFonts w:cs="Segoe UI"/>
                <w:sz w:val="18"/>
                <w:szCs w:val="18"/>
              </w:rPr>
              <w:t xml:space="preserve">Comi G, Martinelli V, Rodegher M, Moiola L, Leocani L, Bajenaru O, et al. </w:t>
            </w:r>
            <w:r w:rsidRPr="00F7606D">
              <w:rPr>
                <w:rFonts w:cs="Segoe UI"/>
                <w:bCs/>
                <w:sz w:val="18"/>
                <w:szCs w:val="18"/>
                <w:lang w:val="en-GB"/>
              </w:rPr>
              <w:t>Effects of early treatment with glatiramer acetate in patients with clinically isolated syndrome</w:t>
            </w:r>
            <w:r w:rsidRPr="00F7606D">
              <w:rPr>
                <w:rFonts w:cs="Segoe UI"/>
                <w:sz w:val="18"/>
                <w:szCs w:val="18"/>
                <w:lang w:val="en-GB"/>
              </w:rPr>
              <w:t xml:space="preserve">. Mult Scler 2013;19(8):1074-1083. </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Y</w:t>
            </w: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Not RRMS patients</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421F7">
              <w:rPr>
                <w:rFonts w:cs="Segoe UI"/>
                <w:sz w:val="18"/>
                <w:szCs w:val="18"/>
              </w:rPr>
              <w:t xml:space="preserve">Comi G, Miller AE, Wolinsky JS, Benamor M, Bauer D, Truffinet P, et al. </w:t>
            </w:r>
            <w:r w:rsidRPr="00F7606D">
              <w:rPr>
                <w:rFonts w:cs="Segoe UI"/>
                <w:bCs/>
                <w:sz w:val="18"/>
                <w:szCs w:val="18"/>
                <w:lang w:val="en-GB"/>
              </w:rPr>
              <w:t>The effect of teriflunomide on lymphocyte and neutrophil count in patients with a first clinical episode consistent with multiple sclerosis: Results from the TOPIC study</w:t>
            </w:r>
            <w:r w:rsidRPr="00F7606D">
              <w:rPr>
                <w:rFonts w:cs="Segoe UI"/>
                <w:sz w:val="18"/>
                <w:szCs w:val="18"/>
                <w:lang w:val="en-GB"/>
              </w:rPr>
              <w:t>. J Neurol 2014;261:S91.</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62BC7">
              <w:rPr>
                <w:rFonts w:cs="Segoe UI"/>
                <w:sz w:val="18"/>
                <w:szCs w:val="18"/>
                <w:lang w:val="en-US"/>
              </w:rPr>
              <w:t xml:space="preserve">Confavreux C, Olsson TP, Comi G, Freedman MS, Miller A, Wolinsky JS, et al. </w:t>
            </w:r>
            <w:r w:rsidRPr="00F7606D">
              <w:rPr>
                <w:rFonts w:cs="Segoe UI"/>
                <w:bCs/>
                <w:sz w:val="18"/>
                <w:szCs w:val="18"/>
                <w:lang w:val="en-GB"/>
              </w:rPr>
              <w:t>Teriflunomide hepatic safety results: Pooled data from three placebo-controlled studies</w:t>
            </w:r>
            <w:r w:rsidRPr="00F7606D">
              <w:rPr>
                <w:rFonts w:cs="Segoe UI"/>
                <w:sz w:val="18"/>
                <w:szCs w:val="18"/>
                <w:lang w:val="en-GB"/>
              </w:rPr>
              <w:t>. J Neurol 2013;260:S122.</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421F7">
              <w:rPr>
                <w:rFonts w:cs="Segoe UI"/>
                <w:sz w:val="18"/>
                <w:szCs w:val="18"/>
              </w:rPr>
              <w:t xml:space="preserve">Cutter G, Wolinsky JS, Comi G, Ladkani D, Knappertz V, Vainstein A, et al. </w:t>
            </w:r>
            <w:r w:rsidRPr="00F7606D">
              <w:rPr>
                <w:rFonts w:cs="Segoe UI"/>
                <w:bCs/>
                <w:sz w:val="18"/>
                <w:szCs w:val="18"/>
                <w:lang w:val="en-GB"/>
              </w:rPr>
              <w:t>Comparable clinical and MRI efficacy of glatiramer acetate 40mg/mL TIW and 20mg/mL QD: Results of a systematic review and meta-analysis</w:t>
            </w:r>
            <w:r w:rsidRPr="00F7606D">
              <w:rPr>
                <w:rFonts w:cs="Segoe UI"/>
                <w:sz w:val="18"/>
                <w:szCs w:val="18"/>
                <w:lang w:val="en-GB"/>
              </w:rPr>
              <w:t>. Mult Scler 2014;1):90-91.</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421F7">
              <w:rPr>
                <w:rFonts w:cs="Segoe UI"/>
                <w:sz w:val="18"/>
                <w:szCs w:val="18"/>
              </w:rPr>
              <w:t xml:space="preserve">De Stefano N, Kappos L, Radue EW, Sprenger T, Piani Meier D, Haring D, et al. </w:t>
            </w:r>
            <w:r w:rsidRPr="00F7606D">
              <w:rPr>
                <w:rFonts w:cs="Segoe UI"/>
                <w:bCs/>
                <w:sz w:val="18"/>
                <w:szCs w:val="18"/>
                <w:lang w:val="en-GB"/>
              </w:rPr>
              <w:t>Fingolimod effect on diffuse tissue damage is partly independent of its effect on focal damage in relapsingremitting multiple sclerosis patients</w:t>
            </w:r>
            <w:r w:rsidRPr="00F7606D">
              <w:rPr>
                <w:rFonts w:cs="Segoe UI"/>
                <w:sz w:val="18"/>
                <w:szCs w:val="18"/>
                <w:lang w:val="en-GB"/>
              </w:rPr>
              <w:t>. Mult Scler 2014;1):379.</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421F7">
              <w:rPr>
                <w:sz w:val="18"/>
                <w:szCs w:val="18"/>
              </w:rPr>
              <w:br w:type="page"/>
            </w:r>
            <w:r w:rsidRPr="00B421F7">
              <w:rPr>
                <w:rFonts w:cs="Segoe UI"/>
                <w:sz w:val="18"/>
                <w:szCs w:val="18"/>
              </w:rPr>
              <w:t xml:space="preserve">De Stefano N, Sprenger T, Freedman MS, Cree B, Sormani MP, Haring DA, et al. </w:t>
            </w:r>
            <w:r w:rsidRPr="00F7606D">
              <w:rPr>
                <w:rFonts w:cs="Segoe UI"/>
                <w:bCs/>
                <w:sz w:val="18"/>
                <w:szCs w:val="18"/>
                <w:lang w:val="en-GB"/>
              </w:rPr>
              <w:t>Including threshold rates of brain volume loss in the definition of disease-activity-free in multiple sclerosis using fingolimod phase 3 data</w:t>
            </w:r>
            <w:r w:rsidRPr="00F7606D">
              <w:rPr>
                <w:rFonts w:cs="Segoe UI"/>
                <w:sz w:val="18"/>
                <w:szCs w:val="18"/>
                <w:lang w:val="en-GB"/>
              </w:rPr>
              <w:t>. Mult Scler 2014;1):196-197.</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Deykin A, Arnold D, Hung S, Sheikh S, Seddighzadeh A, Zhu Y, et al. </w:t>
            </w:r>
            <w:r w:rsidRPr="00F7606D">
              <w:rPr>
                <w:rFonts w:cs="Segoe UI"/>
                <w:bCs/>
                <w:sz w:val="18"/>
                <w:szCs w:val="18"/>
                <w:lang w:val="en-GB"/>
              </w:rPr>
              <w:t>Interim analysis of 2-year clinical efficacy and safety of peg-interferon beta-1a in patients with relapsing-remitting multiple sclerosis: Data from the pivotal phase 3 advance study</w:t>
            </w:r>
            <w:r w:rsidRPr="00F7606D">
              <w:rPr>
                <w:rFonts w:cs="Segoe UI"/>
                <w:sz w:val="18"/>
                <w:szCs w:val="18"/>
                <w:lang w:val="en-GB"/>
              </w:rPr>
              <w:t>. Neurology 2014;1).</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685670"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Dhib-Jalbut S, Sumandeep S, Valenzuela R, Ito K, Patel P, Rametta M. </w:t>
            </w:r>
            <w:r w:rsidRPr="00F7606D">
              <w:rPr>
                <w:rFonts w:cs="Segoe UI"/>
                <w:bCs/>
                <w:sz w:val="18"/>
                <w:szCs w:val="18"/>
                <w:lang w:val="en-GB"/>
              </w:rPr>
              <w:t>Immune response during interferon beta-1b treatment in patients with multiple sclerosis who experienced relapses and those who were relapse-free in the START study</w:t>
            </w:r>
            <w:r w:rsidRPr="00F7606D">
              <w:rPr>
                <w:rFonts w:cs="Segoe UI"/>
                <w:sz w:val="18"/>
                <w:szCs w:val="18"/>
                <w:lang w:val="en-GB"/>
              </w:rPr>
              <w:t>. J Neuroimmunol 2013;254(1-2):131-140.</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Re-analysis of START study, which is observational with only interfreron (Betaseron)</w:t>
            </w:r>
          </w:p>
        </w:tc>
      </w:tr>
      <w:tr w:rsidR="007B226E" w:rsidRPr="00685670"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sz w:val="18"/>
                <w:szCs w:val="18"/>
                <w:lang w:val="en-GB"/>
              </w:rPr>
              <w:br w:type="page"/>
            </w:r>
            <w:r w:rsidRPr="00F7606D">
              <w:rPr>
                <w:rFonts w:cs="Segoe UI"/>
                <w:sz w:val="18"/>
                <w:szCs w:val="18"/>
                <w:lang w:val="en-GB"/>
              </w:rPr>
              <w:t xml:space="preserve">Edan G, Kappos L, Montalban X, Polman C, Freedman M, Hartung H. </w:t>
            </w:r>
            <w:r w:rsidRPr="00F7606D">
              <w:rPr>
                <w:rFonts w:cs="Segoe UI"/>
                <w:bCs/>
                <w:sz w:val="18"/>
                <w:szCs w:val="18"/>
                <w:lang w:val="en-GB"/>
              </w:rPr>
              <w:t>Long term impact of early initiation of interferon beta-1B after a first clinical event suggestive of multiple sclerosis: Additional relapse rate, edss, and msss analyses after 8 years</w:t>
            </w:r>
            <w:r w:rsidRPr="00F7606D">
              <w:rPr>
                <w:rFonts w:cs="Segoe UI"/>
                <w:sz w:val="18"/>
                <w:szCs w:val="18"/>
                <w:lang w:val="en-GB"/>
              </w:rPr>
              <w:t>.  2013;80.</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685670"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62BC7">
              <w:rPr>
                <w:rFonts w:cs="Segoe UI"/>
                <w:sz w:val="18"/>
                <w:szCs w:val="18"/>
                <w:lang w:val="en-US"/>
              </w:rPr>
              <w:t xml:space="preserve">Fox E, Edwards K, Burch JG, Kim E, Pestreich L, McCague K, et al. </w:t>
            </w:r>
            <w:r w:rsidRPr="00F7606D">
              <w:rPr>
                <w:rFonts w:cs="Segoe UI"/>
                <w:bCs/>
                <w:sz w:val="18"/>
                <w:szCs w:val="18"/>
                <w:lang w:val="en-GB"/>
              </w:rPr>
              <w:t>Treatment satisfaction and clinical improvement after switch to fingolimod</w:t>
            </w:r>
            <w:r w:rsidRPr="00F7606D">
              <w:rPr>
                <w:rFonts w:cs="Segoe UI"/>
                <w:sz w:val="18"/>
                <w:szCs w:val="18"/>
                <w:lang w:val="en-GB"/>
              </w:rPr>
              <w:t>. J Neurol 2013;260:S126.</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685670"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sz w:val="18"/>
                <w:szCs w:val="18"/>
                <w:lang w:val="en-GB"/>
              </w:rPr>
              <w:br w:type="page"/>
            </w:r>
            <w:r w:rsidRPr="00F7606D">
              <w:rPr>
                <w:rFonts w:cs="Segoe UI"/>
                <w:sz w:val="18"/>
                <w:szCs w:val="18"/>
                <w:lang w:val="en-GB"/>
              </w:rPr>
              <w:t xml:space="preserve">Freedman M, Wolinsky J, Comi G, Kappos L, Olsson T, Miller A, et al. </w:t>
            </w:r>
            <w:r w:rsidRPr="00F7606D">
              <w:rPr>
                <w:rFonts w:cs="Segoe UI"/>
                <w:bCs/>
                <w:sz w:val="18"/>
                <w:szCs w:val="18"/>
                <w:lang w:val="en-GB"/>
              </w:rPr>
              <w:t>Long-term safety and efficacy of teriflunomide in patients with relapsing forms of multiple sclerosis in the TEMSO extension trial</w:t>
            </w:r>
            <w:r w:rsidRPr="00F7606D">
              <w:rPr>
                <w:rFonts w:cs="Segoe UI"/>
                <w:sz w:val="18"/>
                <w:szCs w:val="18"/>
                <w:lang w:val="en-GB"/>
              </w:rPr>
              <w:t xml:space="preserve">. Mult Scler 2013;1):225. </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685670"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Freedman M, Wolinsky J, Comi G, Kappos L, Olsson T, Miller A, et al. </w:t>
            </w:r>
            <w:r w:rsidRPr="00F7606D">
              <w:rPr>
                <w:rFonts w:cs="Segoe UI"/>
                <w:bCs/>
                <w:sz w:val="18"/>
                <w:szCs w:val="18"/>
                <w:lang w:val="en-GB"/>
              </w:rPr>
              <w:t>Safety and efficacy of teriflunomide for up to 9 years in relapsing forms of multiple sclerosis: Update of the temso extension trial</w:t>
            </w:r>
            <w:r w:rsidRPr="00F7606D">
              <w:rPr>
                <w:rFonts w:cs="Segoe UI"/>
                <w:sz w:val="18"/>
                <w:szCs w:val="18"/>
                <w:lang w:val="en-GB"/>
              </w:rPr>
              <w:t>. Neurology 2014;1).</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Freedman MS. </w:t>
            </w:r>
            <w:r w:rsidRPr="00F7606D">
              <w:rPr>
                <w:rFonts w:cs="Segoe UI"/>
                <w:bCs/>
                <w:sz w:val="18"/>
                <w:szCs w:val="18"/>
                <w:lang w:val="en-GB"/>
              </w:rPr>
              <w:t>Evidence for the efficacy of interferon beta-1b in delaying the onset of clinically definite multiple sclerosis in individuals with clinically isolated syndrome</w:t>
            </w:r>
            <w:r w:rsidRPr="00F7606D">
              <w:rPr>
                <w:rFonts w:cs="Segoe UI"/>
                <w:sz w:val="18"/>
                <w:szCs w:val="18"/>
                <w:lang w:val="en-GB"/>
              </w:rPr>
              <w:t>. Ther Adv Neurol Disord 2014;7(6):279-288.</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Y</w:t>
            </w: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Review not SR</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Freedman MS, Ben-Amor AF, Issard D, Casset-Semanaz F. </w:t>
            </w:r>
            <w:r w:rsidRPr="00F7606D">
              <w:rPr>
                <w:rFonts w:cs="Segoe UI"/>
                <w:bCs/>
                <w:sz w:val="18"/>
                <w:szCs w:val="18"/>
                <w:lang w:val="en-GB"/>
              </w:rPr>
              <w:t>Assessing a tool to predict disease activity in patients with multiple sclerosis: A post-hoc analysis of clinical trial data on patients treated with subcutaneous interferon beta-1a</w:t>
            </w:r>
            <w:r w:rsidRPr="00F7606D">
              <w:rPr>
                <w:rFonts w:cs="Segoe UI"/>
                <w:sz w:val="18"/>
                <w:szCs w:val="18"/>
                <w:lang w:val="en-GB"/>
              </w:rPr>
              <w:t>. Mult Scler 2013;1):262.</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7F3BF7">
              <w:rPr>
                <w:sz w:val="18"/>
                <w:szCs w:val="18"/>
                <w:lang w:val="en-GB"/>
              </w:rPr>
              <w:br w:type="page"/>
            </w:r>
            <w:r w:rsidRPr="007F3BF7">
              <w:rPr>
                <w:rFonts w:cs="Segoe UI"/>
                <w:sz w:val="18"/>
                <w:szCs w:val="18"/>
                <w:lang w:val="en-GB"/>
              </w:rPr>
              <w:t xml:space="preserve">Freedman MS, Stefano N, Barkhof F, Polman CH, Comi G, Uitdehaag BMJ, et al. </w:t>
            </w:r>
            <w:r w:rsidRPr="00F7606D">
              <w:rPr>
                <w:rFonts w:cs="Segoe UI"/>
                <w:bCs/>
                <w:sz w:val="18"/>
                <w:szCs w:val="18"/>
                <w:lang w:val="en-GB"/>
              </w:rPr>
              <w:t>Patient subgroup analyses of the treatment effect of subcutaneous interferon beta-1a on development of multiple sclerosis in the randomized controlled REFLEX study</w:t>
            </w:r>
            <w:r w:rsidRPr="00F7606D">
              <w:rPr>
                <w:rFonts w:cs="Segoe UI"/>
                <w:sz w:val="18"/>
                <w:szCs w:val="18"/>
                <w:lang w:val="en-GB"/>
              </w:rPr>
              <w:t>. J Neurol 2014;261(3):490-499.</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Y</w:t>
            </w: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Not RRMS patients</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Havrdova E, Gold R, Fox R, Kappos L, Phillips JT, Zhang A. </w:t>
            </w:r>
            <w:r w:rsidRPr="00F7606D">
              <w:rPr>
                <w:rFonts w:cs="Segoe UI"/>
                <w:bCs/>
                <w:sz w:val="18"/>
                <w:szCs w:val="18"/>
                <w:lang w:val="en-GB"/>
              </w:rPr>
              <w:t>BG-12 (dimethyl fumarate) treatment for relapsing-remitting multiple sclerosis (RRMS) increases the proportion of patients free of measured clinical and neuroradiologic disease activity in the phase 3 studies</w:t>
            </w:r>
            <w:r w:rsidRPr="00F7606D">
              <w:rPr>
                <w:rFonts w:cs="Segoe UI"/>
                <w:sz w:val="18"/>
                <w:szCs w:val="18"/>
                <w:lang w:val="en-GB"/>
              </w:rPr>
              <w:t>.  2013;80.</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Hung S, Kieseier BC, Arnold DL, Balcer L, Boyko A, Pelletier J, et al. </w:t>
            </w:r>
            <w:r w:rsidRPr="00F7606D">
              <w:rPr>
                <w:rFonts w:cs="Segoe UI"/>
                <w:bCs/>
                <w:sz w:val="18"/>
                <w:szCs w:val="18"/>
                <w:lang w:val="en-GB"/>
              </w:rPr>
              <w:t>Peg-interferon beta-1a provides improvements in clinical and radiological disease activity in relapsing-remitting multiple sclerosis: Year 1 findings from the phase 3 advance study</w:t>
            </w:r>
            <w:r w:rsidRPr="00F7606D">
              <w:rPr>
                <w:rFonts w:cs="Segoe UI"/>
                <w:sz w:val="18"/>
                <w:szCs w:val="18"/>
                <w:lang w:val="en-GB"/>
              </w:rPr>
              <w:t>. Mult Scler 2014;20 (7):926.</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Hunter SF, Hunter HM, Kantor D. </w:t>
            </w:r>
            <w:r w:rsidRPr="00F7606D">
              <w:rPr>
                <w:rFonts w:cs="Segoe UI"/>
                <w:bCs/>
                <w:sz w:val="18"/>
                <w:szCs w:val="18"/>
                <w:lang w:val="en-GB"/>
              </w:rPr>
              <w:t>Phase 1 trial monitoring response to alemtuzumab (ALE) in naive and ALE-experienced subjects with refractory multiple sclerosis (MS)</w:t>
            </w:r>
            <w:r w:rsidRPr="00F7606D">
              <w:rPr>
                <w:rFonts w:cs="Segoe UI"/>
                <w:sz w:val="18"/>
                <w:szCs w:val="18"/>
                <w:lang w:val="en-GB"/>
              </w:rPr>
              <w:t xml:space="preserve">. Mult Scler 2013;1):265-266. </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Hutchinson M, Bar-Or A, Fox RJ, Gold R, Giovannoni G, Kita M, et al. </w:t>
            </w:r>
            <w:r w:rsidRPr="00F7606D">
              <w:rPr>
                <w:rFonts w:cs="Segoe UI"/>
                <w:bCs/>
                <w:sz w:val="18"/>
                <w:szCs w:val="18"/>
                <w:lang w:val="en-GB"/>
              </w:rPr>
              <w:t>Effect of BG-12 (dimethyl fumarate) in subgroups of patients with relapsing-remitting multiple sclerosis: Findings from Two Phase 3 Studies (DEFINE and CONFIRM)</w:t>
            </w:r>
            <w:r w:rsidRPr="00F7606D">
              <w:rPr>
                <w:rFonts w:cs="Segoe UI"/>
                <w:sz w:val="18"/>
                <w:szCs w:val="18"/>
                <w:lang w:val="en-GB"/>
              </w:rPr>
              <w:t xml:space="preserve">. Mult Scler 2013;19 (5):682-683. </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7F3BF7">
              <w:rPr>
                <w:sz w:val="18"/>
                <w:szCs w:val="18"/>
                <w:lang w:val="en-GB"/>
              </w:rPr>
              <w:br w:type="page"/>
            </w:r>
            <w:r w:rsidRPr="007F3BF7">
              <w:rPr>
                <w:rFonts w:cs="Segoe UI"/>
                <w:sz w:val="18"/>
                <w:szCs w:val="18"/>
                <w:lang w:val="en-GB"/>
              </w:rPr>
              <w:t xml:space="preserve">Hutchinson M, Fox RJ, Havrdova E, Kurukulasuriya NC, Sarda SP, Agarwal S, et al. </w:t>
            </w:r>
            <w:r w:rsidRPr="00F7606D">
              <w:rPr>
                <w:rFonts w:cs="Segoe UI"/>
                <w:bCs/>
                <w:sz w:val="18"/>
                <w:szCs w:val="18"/>
                <w:lang w:val="en-GB"/>
              </w:rPr>
              <w:t>Efficacy and safety of BG-12 (dimethyl fumarate) and other disease-modifying therapies for the treatment of relapsing-remitting multiple sclerosis: A systematic review and mixed treatment comparison</w:t>
            </w:r>
            <w:r w:rsidRPr="00F7606D">
              <w:rPr>
                <w:rFonts w:cs="Segoe UI"/>
                <w:sz w:val="18"/>
                <w:szCs w:val="18"/>
                <w:lang w:val="en-GB"/>
              </w:rPr>
              <w:t>. Curr Med Res Opin 2014;30(4):613-627.</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Systematic review. Date of search 15/11/2012</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Hutchinson M, Fox RJ, Phillips JT, Miller DH, Havrdova E, Kita M, et al. </w:t>
            </w:r>
            <w:r w:rsidRPr="00F7606D">
              <w:rPr>
                <w:rFonts w:cs="Segoe UI"/>
                <w:bCs/>
                <w:sz w:val="18"/>
                <w:szCs w:val="18"/>
                <w:lang w:val="en-GB"/>
              </w:rPr>
              <w:t>Efficacy and safety of BG-12 (dimethyl fumarate) in relapsing-remitting multiple sclerosis in the phase 3 CONFIRM study</w:t>
            </w:r>
            <w:r w:rsidRPr="00F7606D">
              <w:rPr>
                <w:rFonts w:cs="Segoe UI"/>
                <w:sz w:val="18"/>
                <w:szCs w:val="18"/>
                <w:lang w:val="en-GB"/>
              </w:rPr>
              <w:t xml:space="preserve">. Mult Scler 2013;19 (5):683. </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Kappos L, Cohen J, Collins W, De Vera A, Zhang-Auberson L, Ritter S, et al. </w:t>
            </w:r>
            <w:r w:rsidRPr="00F7606D">
              <w:rPr>
                <w:rFonts w:cs="Segoe UI"/>
                <w:bCs/>
                <w:sz w:val="18"/>
                <w:szCs w:val="18"/>
                <w:lang w:val="en-GB"/>
              </w:rPr>
              <w:t>Fingolimod in relapsing multiple sclerosis: An integrated analysis of safety findings</w:t>
            </w:r>
            <w:r w:rsidRPr="00F7606D">
              <w:rPr>
                <w:rFonts w:cs="Segoe UI"/>
                <w:sz w:val="18"/>
                <w:szCs w:val="18"/>
                <w:lang w:val="en-GB"/>
              </w:rPr>
              <w:t>. Multiple sclerosis and Related Disorders 2014;3(4):494-504.</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Not RCT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Kappos L, O'Connor PW, Polman CH, Vermersch P, Wiendl H, Pace A, et al. </w:t>
            </w:r>
            <w:r w:rsidRPr="00F7606D">
              <w:rPr>
                <w:rFonts w:cs="Segoe UI"/>
                <w:bCs/>
                <w:sz w:val="18"/>
                <w:szCs w:val="18"/>
                <w:lang w:val="en-GB"/>
              </w:rPr>
              <w:t>Clinical effects of natalizumab on multiple sclerosis appear early in treatment course</w:t>
            </w:r>
            <w:r w:rsidRPr="00F7606D">
              <w:rPr>
                <w:rFonts w:cs="Segoe UI"/>
                <w:sz w:val="18"/>
                <w:szCs w:val="18"/>
                <w:lang w:val="en-GB"/>
              </w:rPr>
              <w:t>. J Neurol 2013;260(5):1388-1395.</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Not RCT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62BC7">
              <w:rPr>
                <w:sz w:val="18"/>
                <w:szCs w:val="18"/>
                <w:lang w:val="en-US"/>
              </w:rPr>
              <w:br w:type="page"/>
            </w:r>
            <w:r w:rsidRPr="00B62BC7">
              <w:rPr>
                <w:rFonts w:cs="Segoe UI"/>
                <w:sz w:val="18"/>
                <w:szCs w:val="18"/>
                <w:lang w:val="en-US"/>
              </w:rPr>
              <w:t xml:space="preserve">Kaufman M, Cree BA, De Seze J, Fox RJ, Gold R, Hartung HP, et al. </w:t>
            </w:r>
            <w:r w:rsidRPr="00F7606D">
              <w:rPr>
                <w:rFonts w:cs="Segoe UI"/>
                <w:bCs/>
                <w:sz w:val="18"/>
                <w:szCs w:val="18"/>
                <w:lang w:val="en-GB"/>
              </w:rPr>
              <w:t>Radiologic MS disease activity during natalizumab treatment interruption: findings from RESTORE</w:t>
            </w:r>
            <w:r w:rsidRPr="00F7606D">
              <w:rPr>
                <w:rFonts w:cs="Segoe UI"/>
                <w:sz w:val="18"/>
                <w:szCs w:val="18"/>
                <w:lang w:val="en-GB"/>
              </w:rPr>
              <w:t>. J Neurol 2015;262(2):326-336.</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Re-analysis of RESTORE study and others placebo groups</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Khan O, Rieckmann P, Boyko A, Selmaj K, Zivadinov R. </w:t>
            </w:r>
            <w:r w:rsidRPr="00F7606D">
              <w:rPr>
                <w:rFonts w:cs="Segoe UI"/>
                <w:bCs/>
                <w:sz w:val="18"/>
                <w:szCs w:val="18"/>
                <w:lang w:val="en-GB"/>
              </w:rPr>
              <w:t>A multinational, multicenter, randomized, placebo-controlled, double-blind study to assess the efficacy, safety, and tolerability of glatiramer acetate 40 mg injection three times a week in subjects with RRMS: Efficacy and safety results of the gala study</w:t>
            </w:r>
            <w:r w:rsidRPr="00F7606D">
              <w:rPr>
                <w:rFonts w:cs="Segoe UI"/>
                <w:sz w:val="18"/>
                <w:szCs w:val="18"/>
                <w:lang w:val="en-GB"/>
              </w:rPr>
              <w:t>. Neurology 2013;80 (1 MeetingAbstracts).</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Kita M, Fox R, Phillips JT, Arnold D, Bar-Or A, Yang M. </w:t>
            </w:r>
            <w:r w:rsidRPr="00F7606D">
              <w:rPr>
                <w:rFonts w:cs="Segoe UI"/>
                <w:bCs/>
                <w:sz w:val="18"/>
                <w:szCs w:val="18"/>
                <w:lang w:val="en-GB"/>
              </w:rPr>
              <w:t>Clinical and neuroradiologic efficacy of BG-12 (dimethyl fumarate) in us patients with relapsing-remitting multiple sclerosis (RRMS): An integrated analysis of the phase 3 DEFINE and confirm studies</w:t>
            </w:r>
            <w:r w:rsidRPr="00F7606D">
              <w:rPr>
                <w:rFonts w:cs="Segoe UI"/>
                <w:sz w:val="18"/>
                <w:szCs w:val="18"/>
                <w:lang w:val="en-GB"/>
              </w:rPr>
              <w:t>.  2013;80.</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Leist T, Freedman M, Benamor M, Truffinet P, Dukovic D, Comi G. </w:t>
            </w:r>
            <w:r w:rsidRPr="00F7606D">
              <w:rPr>
                <w:rFonts w:cs="Segoe UI"/>
                <w:bCs/>
                <w:sz w:val="18"/>
                <w:szCs w:val="18"/>
                <w:lang w:val="en-GB"/>
              </w:rPr>
              <w:t>Pooled safety data from four placebo-controlled teriflunomide studies</w:t>
            </w:r>
            <w:r w:rsidRPr="00F7606D">
              <w:rPr>
                <w:rFonts w:cs="Segoe UI"/>
                <w:sz w:val="18"/>
                <w:szCs w:val="18"/>
                <w:lang w:val="en-GB"/>
              </w:rPr>
              <w:t>. Neurology 2014;1).</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shd w:val="clear" w:color="auto" w:fill="auto"/>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62BC7">
              <w:rPr>
                <w:rFonts w:cs="Segoe UI"/>
                <w:sz w:val="18"/>
                <w:szCs w:val="18"/>
              </w:rPr>
              <w:t xml:space="preserve">Leist T, Freedman M, Kappos L, Olsson T, Miller A, Wolinsky J, et al. </w:t>
            </w:r>
            <w:r w:rsidRPr="00F7606D">
              <w:rPr>
                <w:rFonts w:cs="Segoe UI"/>
                <w:bCs/>
                <w:sz w:val="18"/>
                <w:szCs w:val="18"/>
                <w:lang w:val="en-GB"/>
              </w:rPr>
              <w:t>Pooled safety data from three placebo-controlled teriflunomide studies</w:t>
            </w:r>
            <w:r w:rsidRPr="00F7606D">
              <w:rPr>
                <w:rFonts w:cs="Segoe UI"/>
                <w:sz w:val="18"/>
                <w:szCs w:val="18"/>
                <w:lang w:val="en-GB"/>
              </w:rPr>
              <w:t>. Mult Scler 2013;1):274-275.</w:t>
            </w:r>
          </w:p>
        </w:tc>
        <w:tc>
          <w:tcPr>
            <w:tcW w:w="567"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421F7">
              <w:rPr>
                <w:rFonts w:cs="Segoe UI"/>
                <w:sz w:val="18"/>
                <w:szCs w:val="18"/>
              </w:rPr>
              <w:t xml:space="preserve">Leist TP, Freedman MS, Kappos L, Olsson TP, Miller AE, Wolinsky JS, et al. </w:t>
            </w:r>
            <w:r w:rsidRPr="00F7606D">
              <w:rPr>
                <w:rFonts w:cs="Segoe UI"/>
                <w:bCs/>
                <w:sz w:val="18"/>
                <w:szCs w:val="18"/>
                <w:lang w:val="en-GB"/>
              </w:rPr>
              <w:t>Three placebo-controlled teriflunomide studies: Pooled safety data</w:t>
            </w:r>
            <w:r w:rsidRPr="00F7606D">
              <w:rPr>
                <w:rFonts w:cs="Segoe UI"/>
                <w:sz w:val="18"/>
                <w:szCs w:val="18"/>
                <w:lang w:val="en-GB"/>
              </w:rPr>
              <w:t>. Mult Scler 2014;20 (7):933-934.</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421F7">
              <w:rPr>
                <w:rFonts w:cs="Segoe UI"/>
                <w:sz w:val="18"/>
                <w:szCs w:val="18"/>
              </w:rPr>
              <w:t xml:space="preserve">Leist TP, Freedman MS, Kappos L, Olsson TP, Miller AE, Wolinsky JS, et al. </w:t>
            </w:r>
            <w:r w:rsidRPr="00F7606D">
              <w:rPr>
                <w:rFonts w:cs="Segoe UI"/>
                <w:bCs/>
                <w:sz w:val="18"/>
                <w:szCs w:val="18"/>
                <w:lang w:val="en-GB"/>
              </w:rPr>
              <w:t>Pooled safety analyses from the teriflunomide clinical development program</w:t>
            </w:r>
            <w:r w:rsidRPr="00F7606D">
              <w:rPr>
                <w:rFonts w:cs="Segoe UI"/>
                <w:sz w:val="18"/>
                <w:szCs w:val="18"/>
                <w:lang w:val="en-GB"/>
              </w:rPr>
              <w:t xml:space="preserve">. Mult Scler 2014;1):110-111. </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Lublin F, Cofield S, Cutter G, Salter A, Wang J, Conwit R, et al. </w:t>
            </w:r>
            <w:r w:rsidRPr="00F7606D">
              <w:rPr>
                <w:rFonts w:cs="Segoe UI"/>
                <w:bCs/>
                <w:sz w:val="18"/>
                <w:szCs w:val="18"/>
                <w:lang w:val="en-GB"/>
              </w:rPr>
              <w:t>Edss changes in combirx: Blinded, 7-year extension results for progression and improvement</w:t>
            </w:r>
            <w:r w:rsidRPr="00F7606D">
              <w:rPr>
                <w:rFonts w:cs="Segoe UI"/>
                <w:sz w:val="18"/>
                <w:szCs w:val="18"/>
                <w:lang w:val="en-GB"/>
              </w:rPr>
              <w:t xml:space="preserve">. Neurology 2013;80 (1 MeetingAbstracts). </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sz w:val="18"/>
                <w:szCs w:val="18"/>
                <w:lang w:val="en-GB"/>
              </w:rPr>
              <w:br w:type="page"/>
            </w:r>
            <w:r w:rsidRPr="00F7606D">
              <w:rPr>
                <w:rFonts w:cs="Segoe UI"/>
                <w:sz w:val="18"/>
                <w:szCs w:val="18"/>
                <w:lang w:val="en-GB"/>
              </w:rPr>
              <w:t xml:space="preserve">Lublin F, Cofield S, Cutter G, Salter A, Wang J, Conwit R, et al. </w:t>
            </w:r>
            <w:r w:rsidRPr="00F7606D">
              <w:rPr>
                <w:rFonts w:cs="Segoe UI"/>
                <w:bCs/>
                <w:sz w:val="18"/>
                <w:szCs w:val="18"/>
                <w:lang w:val="en-GB"/>
              </w:rPr>
              <w:t>Relapse activity in the combirx trial: Blinded, 7-year extension results</w:t>
            </w:r>
            <w:r w:rsidRPr="00F7606D">
              <w:rPr>
                <w:rFonts w:cs="Segoe UI"/>
                <w:sz w:val="18"/>
                <w:szCs w:val="18"/>
                <w:lang w:val="en-GB"/>
              </w:rPr>
              <w:t>. Neurology 2013;80 (1 MeetingAbstracts).</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62BC7">
              <w:rPr>
                <w:rFonts w:cs="Segoe UI"/>
                <w:sz w:val="18"/>
                <w:szCs w:val="18"/>
                <w:lang w:val="en-US"/>
              </w:rPr>
              <w:t xml:space="preserve">Macdonell R, Lublin F, Comi G, Freedman MS, Kappos L, Maurer M, et al. </w:t>
            </w:r>
            <w:r w:rsidRPr="00F7606D">
              <w:rPr>
                <w:rFonts w:cs="Segoe UI"/>
                <w:bCs/>
                <w:sz w:val="18"/>
                <w:szCs w:val="18"/>
                <w:lang w:val="en-GB"/>
              </w:rPr>
              <w:t>Teriflunomide reduces relapse-related sequelae, severe relapses, hospitalisations and corticosteroid use: Pooled data from the phase 3 TEMSO and TOWER studies</w:t>
            </w:r>
            <w:r w:rsidRPr="00F7606D">
              <w:rPr>
                <w:rFonts w:cs="Segoe UI"/>
                <w:sz w:val="18"/>
                <w:szCs w:val="18"/>
                <w:lang w:val="en-GB"/>
              </w:rPr>
              <w:t xml:space="preserve">. Mult Scler 2013;1):512-513. </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shd w:val="clear" w:color="auto" w:fill="auto"/>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62BC7">
              <w:rPr>
                <w:rFonts w:cs="Segoe UI"/>
                <w:sz w:val="18"/>
                <w:szCs w:val="18"/>
                <w:lang w:val="en-US"/>
              </w:rPr>
              <w:t xml:space="preserve">Mantia LL, Vacchi L, Rovaris M, Di Pietrantonj C, Ebers G, Fredrikson S, et al. </w:t>
            </w:r>
            <w:r w:rsidRPr="00F7606D">
              <w:rPr>
                <w:rFonts w:cs="Segoe UI"/>
                <w:bCs/>
                <w:sz w:val="18"/>
                <w:szCs w:val="18"/>
                <w:lang w:val="en-GB"/>
              </w:rPr>
              <w:t>Interferon beta for secondary progressive multiple sclerosis: a systematic review</w:t>
            </w:r>
            <w:r w:rsidRPr="00F7606D">
              <w:rPr>
                <w:rFonts w:cs="Segoe UI"/>
                <w:sz w:val="18"/>
                <w:szCs w:val="18"/>
                <w:lang w:val="en-GB"/>
              </w:rPr>
              <w:t>. J Neurol Neurosurg Psychiatry 2013;84(4):420-426</w:t>
            </w:r>
          </w:p>
        </w:tc>
        <w:tc>
          <w:tcPr>
            <w:tcW w:w="567"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425"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shd w:val="clear" w:color="auto" w:fill="auto"/>
            <w:vAlign w:val="center"/>
          </w:tcPr>
          <w:p w:rsidR="007B226E" w:rsidRPr="00F7606D" w:rsidRDefault="007B226E" w:rsidP="00435B8F">
            <w:pPr>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spacing w:line="240" w:lineRule="auto"/>
              <w:contextualSpacing/>
              <w:jc w:val="center"/>
              <w:rPr>
                <w:rFonts w:cs="Segoe UI"/>
                <w:sz w:val="18"/>
                <w:szCs w:val="18"/>
                <w:lang w:val="en-GB"/>
              </w:rPr>
            </w:pPr>
            <w:r w:rsidRPr="00F7606D">
              <w:rPr>
                <w:rFonts w:cs="Segoe UI"/>
                <w:sz w:val="18"/>
                <w:szCs w:val="18"/>
                <w:lang w:val="en-GB"/>
              </w:rPr>
              <w:t>Review of</w:t>
            </w:r>
          </w:p>
          <w:p w:rsidR="007B226E" w:rsidRPr="00F7606D" w:rsidRDefault="007B226E" w:rsidP="00435B8F">
            <w:pPr>
              <w:spacing w:line="240" w:lineRule="auto"/>
              <w:contextualSpacing/>
              <w:jc w:val="center"/>
              <w:rPr>
                <w:rFonts w:cs="Segoe UI"/>
                <w:sz w:val="18"/>
                <w:szCs w:val="18"/>
                <w:lang w:val="en-GB"/>
              </w:rPr>
            </w:pPr>
            <w:r w:rsidRPr="00F7606D">
              <w:rPr>
                <w:rFonts w:cs="Segoe UI"/>
                <w:sz w:val="18"/>
                <w:szCs w:val="18"/>
                <w:lang w:val="en-GB"/>
              </w:rPr>
              <w:t>Secondary progressive</w:t>
            </w:r>
          </w:p>
          <w:p w:rsidR="007B226E" w:rsidRPr="00F7606D" w:rsidRDefault="007B226E" w:rsidP="00435B8F">
            <w:pPr>
              <w:spacing w:line="240" w:lineRule="auto"/>
              <w:contextualSpacing/>
              <w:jc w:val="center"/>
              <w:rPr>
                <w:rFonts w:cs="Segoe UI"/>
                <w:sz w:val="18"/>
                <w:szCs w:val="18"/>
                <w:lang w:val="en-GB"/>
              </w:rPr>
            </w:pP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sz w:val="18"/>
                <w:szCs w:val="18"/>
                <w:lang w:val="en-GB"/>
              </w:rPr>
              <w:br w:type="page"/>
            </w:r>
            <w:r w:rsidRPr="00F7606D">
              <w:rPr>
                <w:rFonts w:cs="Segoe UI"/>
                <w:sz w:val="18"/>
                <w:szCs w:val="18"/>
                <w:lang w:val="en-GB"/>
              </w:rPr>
              <w:t xml:space="preserve">Maurer M, Van Wijmeersch B, De Seze J, Meca-Lallana J, Bozzi S, Vermersch P. </w:t>
            </w:r>
            <w:r w:rsidRPr="00F7606D">
              <w:rPr>
                <w:rFonts w:cs="Segoe UI"/>
                <w:bCs/>
                <w:sz w:val="18"/>
                <w:szCs w:val="18"/>
                <w:lang w:val="en-GB"/>
              </w:rPr>
              <w:t>Significant and meaningful improvement in treatment satisfaction with teriflunomide versus subcutaneous IFNB-1A in patients with relapsing ms results from Tenere</w:t>
            </w:r>
            <w:r w:rsidRPr="00F7606D">
              <w:rPr>
                <w:rFonts w:cs="Segoe UI"/>
                <w:sz w:val="18"/>
                <w:szCs w:val="18"/>
                <w:lang w:val="en-GB"/>
              </w:rPr>
              <w:t>. Value Health 2014;17 (7):A403.</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421F7">
              <w:rPr>
                <w:rFonts w:cs="Segoe UI"/>
                <w:sz w:val="18"/>
                <w:szCs w:val="18"/>
              </w:rPr>
              <w:t xml:space="preserve">Mikol D, Freedman MS, Goldman MD, Hartung HP, Havrdova E, Jeffery D, et al. </w:t>
            </w:r>
            <w:r w:rsidRPr="00F7606D">
              <w:rPr>
                <w:rFonts w:cs="Segoe UI"/>
                <w:bCs/>
                <w:sz w:val="18"/>
                <w:szCs w:val="18"/>
                <w:lang w:val="en-GB"/>
              </w:rPr>
              <w:t>Correlations between patient-reported ambulatory function (MSWS-12) and objective disability measurements in SPMS: Analysis of ASCEND baseline data</w:t>
            </w:r>
            <w:r w:rsidRPr="00F7606D">
              <w:rPr>
                <w:rFonts w:cs="Segoe UI"/>
                <w:sz w:val="18"/>
                <w:szCs w:val="18"/>
                <w:lang w:val="en-GB"/>
              </w:rPr>
              <w:t xml:space="preserve">. Mult Scler 2014;1):408. </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421F7">
              <w:rPr>
                <w:rFonts w:cs="Segoe UI"/>
                <w:sz w:val="18"/>
                <w:szCs w:val="18"/>
              </w:rPr>
              <w:t xml:space="preserve">Mikol D, Freedman MS, Goldman MD, Hartung HP, Havrdova E, Jeffery D, et al. </w:t>
            </w:r>
            <w:r w:rsidRPr="00F7606D">
              <w:rPr>
                <w:rFonts w:cs="Segoe UI"/>
                <w:bCs/>
                <w:sz w:val="18"/>
                <w:szCs w:val="18"/>
                <w:lang w:val="en-GB"/>
              </w:rPr>
              <w:t>Ascend study of natalizumab efficacy on disability in patients with secondary progressive multiple sclerosis (SPMS): Baseline demographics and disease characteristics</w:t>
            </w:r>
            <w:r w:rsidRPr="00F7606D">
              <w:rPr>
                <w:rFonts w:cs="Segoe UI"/>
                <w:sz w:val="18"/>
                <w:szCs w:val="18"/>
                <w:lang w:val="en-GB"/>
              </w:rPr>
              <w:t xml:space="preserve">. Ann Neurol 2013;74:S59-S60. </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421F7">
              <w:rPr>
                <w:rFonts w:cs="Segoe UI"/>
                <w:sz w:val="18"/>
                <w:szCs w:val="18"/>
              </w:rPr>
              <w:t xml:space="preserve">Mikol D, Freedman MS, Goldman MD, Hartung HP,  et al. </w:t>
            </w:r>
            <w:r w:rsidRPr="00F7606D">
              <w:rPr>
                <w:rFonts w:cs="Segoe UI"/>
                <w:bCs/>
                <w:sz w:val="18"/>
                <w:szCs w:val="18"/>
                <w:lang w:val="en-GB"/>
              </w:rPr>
              <w:t>ASCEND study of natalizumab efficacy on reducing disability in patients with secondary progressive multiple sclerosis: Baseline demographics and disease characteristics</w:t>
            </w:r>
            <w:r w:rsidRPr="00F7606D">
              <w:rPr>
                <w:rFonts w:cs="Segoe UI"/>
                <w:sz w:val="18"/>
                <w:szCs w:val="18"/>
                <w:lang w:val="en-GB"/>
              </w:rPr>
              <w:t>. Mult Scler 2013;1):507-508.</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Miller A, Kappos L, Comi G, Confavreux C, Freedman M, Olsson T. </w:t>
            </w:r>
            <w:r w:rsidRPr="00F7606D">
              <w:rPr>
                <w:rFonts w:cs="Segoe UI"/>
                <w:bCs/>
                <w:sz w:val="18"/>
                <w:szCs w:val="18"/>
                <w:lang w:val="en-GB"/>
              </w:rPr>
              <w:t>Teriflunomide efficacy and safety in patients with relapsing multiple sclerosis: Results from tower, a second, pivotal, phase 3 placebo-controlled study</w:t>
            </w:r>
            <w:r w:rsidRPr="00F7606D">
              <w:rPr>
                <w:rFonts w:cs="Segoe UI"/>
                <w:sz w:val="18"/>
                <w:szCs w:val="18"/>
                <w:lang w:val="en-GB"/>
              </w:rPr>
              <w:t>.  2013;80.</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Miller A, Wolinsky J, Kappos L, Comi G, Freedman M, Olsson T, et al. </w:t>
            </w:r>
            <w:r w:rsidRPr="00F7606D">
              <w:rPr>
                <w:rFonts w:cs="Segoe UI"/>
                <w:bCs/>
                <w:sz w:val="18"/>
                <w:szCs w:val="18"/>
                <w:lang w:val="en-GB"/>
              </w:rPr>
              <w:t>Topic: Efficacy and safety of once-daily oral teriflunomide in patients with first clinical episode consistent with multiple sclerosis</w:t>
            </w:r>
            <w:r w:rsidRPr="00F7606D">
              <w:rPr>
                <w:rFonts w:cs="Segoe UI"/>
                <w:sz w:val="18"/>
                <w:szCs w:val="18"/>
                <w:lang w:val="en-GB"/>
              </w:rPr>
              <w:t>. Neurology 2014;1).</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Miller A, Wolinsky J, Kappos L, Comi G, Freedman MS, Olsson T, et al. </w:t>
            </w:r>
            <w:r w:rsidRPr="00F7606D">
              <w:rPr>
                <w:rFonts w:cs="Segoe UI"/>
                <w:bCs/>
                <w:sz w:val="18"/>
                <w:szCs w:val="18"/>
                <w:lang w:val="en-GB"/>
              </w:rPr>
              <w:t>TOPIC main outcomes: Efficacy and safety of once-daily oral teriflunomide in patients with clinically isolated syndrome</w:t>
            </w:r>
            <w:r w:rsidRPr="00F7606D">
              <w:rPr>
                <w:rFonts w:cs="Segoe UI"/>
                <w:sz w:val="18"/>
                <w:szCs w:val="18"/>
                <w:lang w:val="en-GB"/>
              </w:rPr>
              <w:t>. Mult Scler 2013;1):25-26.</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685670" w:rsidTr="00435B8F">
        <w:tc>
          <w:tcPr>
            <w:tcW w:w="4536" w:type="dxa"/>
            <w:shd w:val="clear" w:color="auto" w:fill="auto"/>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62BC7">
              <w:rPr>
                <w:rFonts w:cs="Segoe UI"/>
                <w:sz w:val="18"/>
                <w:szCs w:val="18"/>
                <w:lang w:val="en-US"/>
              </w:rPr>
              <w:t xml:space="preserve">Miller AE, Wolinsky JS, Kappos L, Comi G, Freedman MS, Olsson TP, et al. </w:t>
            </w:r>
            <w:r w:rsidRPr="00F7606D">
              <w:rPr>
                <w:rFonts w:cs="Segoe UI"/>
                <w:bCs/>
                <w:sz w:val="18"/>
                <w:szCs w:val="18"/>
                <w:lang w:val="en-GB"/>
              </w:rPr>
              <w:t>Oral teriflunomide for patients with a first clinical episode suggestive of multiple sclerosis (TOPIC): A randomised, double-blind, placebo-controlled, phase 3 trial</w:t>
            </w:r>
            <w:r w:rsidRPr="00F7606D">
              <w:rPr>
                <w:rFonts w:cs="Segoe UI"/>
                <w:sz w:val="18"/>
                <w:szCs w:val="18"/>
                <w:lang w:val="en-GB"/>
              </w:rPr>
              <w:t>. The Lancet Neurology 2014;13(10):977-986.</w:t>
            </w:r>
          </w:p>
        </w:tc>
        <w:tc>
          <w:tcPr>
            <w:tcW w:w="567"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Y</w:t>
            </w:r>
          </w:p>
        </w:tc>
        <w:tc>
          <w:tcPr>
            <w:tcW w:w="993"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1559" w:type="dxa"/>
            <w:shd w:val="clear" w:color="auto" w:fill="auto"/>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TOPIC</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Not RRMS patients</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EA1F1D">
              <w:rPr>
                <w:sz w:val="18"/>
                <w:szCs w:val="18"/>
                <w:lang w:val="en-GB"/>
              </w:rPr>
              <w:br w:type="page"/>
            </w:r>
            <w:r w:rsidRPr="00B62BC7">
              <w:rPr>
                <w:rFonts w:cs="Segoe UI"/>
                <w:sz w:val="18"/>
                <w:szCs w:val="18"/>
              </w:rPr>
              <w:t xml:space="preserve">Montalban X, Barkhof F, Comi G, Hartung HP, Kappos L, Khatri B, et al. </w:t>
            </w:r>
            <w:r w:rsidRPr="00F7606D">
              <w:rPr>
                <w:rFonts w:cs="Segoe UI"/>
                <w:bCs/>
                <w:sz w:val="18"/>
                <w:szCs w:val="18"/>
                <w:lang w:val="en-GB"/>
              </w:rPr>
              <w:t>Long term efficacy of fingolimod in patients with relapsing-remitting multiple sclerosis previously treated with interferon b-1a or disease modifying therapies: A post hoc analysis of the TRANSFORMS 4.5 year extension study</w:t>
            </w:r>
            <w:r w:rsidRPr="00F7606D">
              <w:rPr>
                <w:rFonts w:cs="Segoe UI"/>
                <w:sz w:val="18"/>
                <w:szCs w:val="18"/>
                <w:lang w:val="en-GB"/>
              </w:rPr>
              <w:t>. J Neurol 2013;260:S124-S125.</w:t>
            </w: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993"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5"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426"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tc>
        <w:tc>
          <w:tcPr>
            <w:tcW w:w="567"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N</w:t>
            </w:r>
          </w:p>
        </w:tc>
        <w:tc>
          <w:tcPr>
            <w:tcW w:w="1559" w:type="dxa"/>
            <w:vAlign w:val="center"/>
          </w:tcPr>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p>
          <w:p w:rsidR="007B226E" w:rsidRPr="00F7606D" w:rsidRDefault="007B226E" w:rsidP="00435B8F">
            <w:pPr>
              <w:autoSpaceDE w:val="0"/>
              <w:autoSpaceDN w:val="0"/>
              <w:adjustRightInd w:val="0"/>
              <w:spacing w:line="240" w:lineRule="auto"/>
              <w:contextualSpacing/>
              <w:jc w:val="center"/>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Moses H, Freedman M, Kappos L, Miller A, Olsson T, Wolinsky J. </w:t>
            </w:r>
            <w:r w:rsidRPr="00F7606D">
              <w:rPr>
                <w:rFonts w:cs="Segoe UI"/>
                <w:bCs/>
                <w:sz w:val="18"/>
                <w:szCs w:val="18"/>
                <w:lang w:val="en-GB"/>
              </w:rPr>
              <w:t>Pre-DEFINEd subgroups analyses of tower, a placebo-controlled phase 3 trial of teriflunomide in patients with relapsing multiple sclerosis</w:t>
            </w:r>
            <w:r w:rsidRPr="00F7606D">
              <w:rPr>
                <w:rFonts w:cs="Segoe UI"/>
                <w:sz w:val="18"/>
                <w:szCs w:val="18"/>
                <w:lang w:val="en-GB"/>
              </w:rPr>
              <w:t xml:space="preserve">.  2013;80. </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993"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6"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1559"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rPr>
                <w:rFonts w:cs="Segoe UI"/>
                <w:sz w:val="18"/>
                <w:szCs w:val="18"/>
                <w:lang w:val="en-GB"/>
              </w:rPr>
            </w:pPr>
          </w:p>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7F3BF7">
              <w:rPr>
                <w:rFonts w:cs="Segoe UI"/>
                <w:sz w:val="18"/>
                <w:szCs w:val="18"/>
                <w:lang w:val="en-GB"/>
              </w:rPr>
              <w:t xml:space="preserve">Nabavi M, Abolfazli R, Beladimoghadam N, Shahriari S, Hatami-Sadabadi F, Shati M, et al. </w:t>
            </w:r>
            <w:r w:rsidRPr="00F7606D">
              <w:rPr>
                <w:rFonts w:cs="Segoe UI"/>
                <w:bCs/>
                <w:sz w:val="18"/>
                <w:szCs w:val="18"/>
                <w:lang w:val="en-GB"/>
              </w:rPr>
              <w:t>A randomized double blind non-inferiority study of efficacy, safety and tolerability of actorif versus rebif in patients with relapsing remitting ms</w:t>
            </w:r>
            <w:r w:rsidRPr="00F7606D">
              <w:rPr>
                <w:rFonts w:cs="Segoe UI"/>
                <w:sz w:val="18"/>
                <w:szCs w:val="18"/>
                <w:lang w:val="en-GB"/>
              </w:rPr>
              <w:t>. Neuroepidemiology 2013;41 (3-4):259.</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993"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6"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1559"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rPr>
                <w:rFonts w:cs="Segoe UI"/>
                <w:sz w:val="18"/>
                <w:szCs w:val="18"/>
                <w:lang w:val="en-GB"/>
              </w:rPr>
            </w:pPr>
          </w:p>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Abstract</w:t>
            </w:r>
          </w:p>
          <w:p w:rsidR="007B226E" w:rsidRPr="00F7606D" w:rsidRDefault="007B226E" w:rsidP="00435B8F">
            <w:pPr>
              <w:autoSpaceDE w:val="0"/>
              <w:autoSpaceDN w:val="0"/>
              <w:adjustRightInd w:val="0"/>
              <w:spacing w:line="240" w:lineRule="auto"/>
              <w:contextualSpacing/>
              <w:rPr>
                <w:rFonts w:cs="Segoe UI"/>
                <w:sz w:val="18"/>
                <w:szCs w:val="18"/>
                <w:lang w:val="en-GB"/>
              </w:rPr>
            </w:pPr>
          </w:p>
          <w:p w:rsidR="007B226E" w:rsidRPr="00F7606D" w:rsidRDefault="007B226E" w:rsidP="00435B8F">
            <w:pPr>
              <w:autoSpaceDE w:val="0"/>
              <w:autoSpaceDN w:val="0"/>
              <w:adjustRightInd w:val="0"/>
              <w:spacing w:line="240" w:lineRule="auto"/>
              <w:contextualSpacing/>
              <w:rPr>
                <w:rFonts w:cs="Segoe UI"/>
                <w:sz w:val="18"/>
                <w:szCs w:val="18"/>
                <w:lang w:val="en-GB"/>
              </w:rPr>
            </w:pP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Nagtegaal GJA, Pohl C, Wattjes MP, Hulst HE, Freedman MS, Hartung HP, et al. </w:t>
            </w:r>
            <w:r w:rsidRPr="00F7606D">
              <w:rPr>
                <w:rFonts w:cs="Segoe UI"/>
                <w:bCs/>
                <w:sz w:val="18"/>
                <w:szCs w:val="18"/>
                <w:lang w:val="en-GB"/>
              </w:rPr>
              <w:t>Interferon beta-1b reduces black holes in a randomised trial of clinically isolated syndrome</w:t>
            </w:r>
            <w:r w:rsidRPr="00F7606D">
              <w:rPr>
                <w:rFonts w:cs="Segoe UI"/>
                <w:sz w:val="18"/>
                <w:szCs w:val="18"/>
                <w:lang w:val="en-GB"/>
              </w:rPr>
              <w:t>. Mult Scler 2014;20(2):234-242.</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Y</w:t>
            </w:r>
          </w:p>
        </w:tc>
        <w:tc>
          <w:tcPr>
            <w:tcW w:w="993"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6"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1559"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rPr>
                <w:rFonts w:cs="Segoe UI"/>
                <w:sz w:val="18"/>
                <w:szCs w:val="18"/>
                <w:lang w:val="en-GB"/>
              </w:rPr>
            </w:pPr>
          </w:p>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Not RRMS patients</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sz w:val="18"/>
                <w:szCs w:val="18"/>
                <w:lang w:val="en-GB"/>
              </w:rPr>
              <w:br w:type="page"/>
            </w:r>
            <w:r w:rsidRPr="00F7606D">
              <w:rPr>
                <w:rFonts w:cs="Segoe UI"/>
                <w:sz w:val="18"/>
                <w:szCs w:val="18"/>
                <w:lang w:val="en-GB"/>
              </w:rPr>
              <w:t xml:space="preserve">O'Connor P, Lublin F, Wolinsky J, Comi G, Confavreux C, Freedman M. </w:t>
            </w:r>
            <w:r w:rsidRPr="00F7606D">
              <w:rPr>
                <w:rFonts w:cs="Segoe UI"/>
                <w:bCs/>
                <w:sz w:val="18"/>
                <w:szCs w:val="18"/>
                <w:lang w:val="en-GB"/>
              </w:rPr>
              <w:t>Teriflunomide reduces relapse-related sequelae, hospitalizations and corticosteroid use: A post-HOC analysis of the phase 3 tower study</w:t>
            </w:r>
            <w:r w:rsidRPr="00F7606D">
              <w:rPr>
                <w:rFonts w:cs="Segoe UI"/>
                <w:sz w:val="18"/>
                <w:szCs w:val="18"/>
                <w:lang w:val="en-GB"/>
              </w:rPr>
              <w:t>.  2013;80.</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993"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6"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1559"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rPr>
                <w:rFonts w:cs="Segoe UI"/>
                <w:sz w:val="18"/>
                <w:szCs w:val="18"/>
                <w:lang w:val="en-GB"/>
              </w:rPr>
            </w:pPr>
          </w:p>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Olsson T, Comi G, Freedman M, Miller A, Wolinsky J, Truffinet P, et al. </w:t>
            </w:r>
            <w:r w:rsidRPr="00F7606D">
              <w:rPr>
                <w:rFonts w:cs="Segoe UI"/>
                <w:bCs/>
                <w:sz w:val="18"/>
                <w:szCs w:val="18"/>
                <w:lang w:val="en-GB"/>
              </w:rPr>
              <w:t>Patients free of clinical ms activity in temso and tower: Pooled analyses of two phase 3 placebo-controlled trials</w:t>
            </w:r>
            <w:r w:rsidRPr="00F7606D">
              <w:rPr>
                <w:rFonts w:cs="Segoe UI"/>
                <w:sz w:val="18"/>
                <w:szCs w:val="18"/>
                <w:lang w:val="en-GB"/>
              </w:rPr>
              <w:t>. Neurology 2014;1).</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993"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6"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1559"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rPr>
                <w:rFonts w:cs="Segoe UI"/>
                <w:sz w:val="18"/>
                <w:szCs w:val="18"/>
                <w:lang w:val="en-GB"/>
              </w:rPr>
            </w:pPr>
          </w:p>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Pakpoor J, Disanto G, Altmann DR, Pavitt S, Turner B, Calado-Marta M, et al. </w:t>
            </w:r>
            <w:r w:rsidRPr="00F7606D">
              <w:rPr>
                <w:rFonts w:cs="Segoe UI"/>
                <w:bCs/>
                <w:sz w:val="18"/>
                <w:szCs w:val="18"/>
                <w:lang w:val="en-GB"/>
              </w:rPr>
              <w:t>Is there an increased cancer risk in people with relapsing multiple sclerosis taking cladribine?</w:t>
            </w:r>
            <w:r w:rsidRPr="00F7606D">
              <w:rPr>
                <w:rFonts w:cs="Segoe UI"/>
                <w:sz w:val="18"/>
                <w:szCs w:val="18"/>
                <w:lang w:val="en-GB"/>
              </w:rPr>
              <w:t xml:space="preserve"> Mult Scler 2014;1):455.</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993"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6"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1559"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rPr>
                <w:rFonts w:cs="Segoe UI"/>
                <w:sz w:val="18"/>
                <w:szCs w:val="18"/>
                <w:lang w:val="en-GB"/>
              </w:rPr>
            </w:pPr>
          </w:p>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7F3BF7">
              <w:rPr>
                <w:sz w:val="18"/>
                <w:szCs w:val="18"/>
                <w:lang w:val="en-GB"/>
              </w:rPr>
              <w:br w:type="page"/>
            </w:r>
            <w:r w:rsidRPr="007F3BF7">
              <w:rPr>
                <w:rFonts w:cs="Segoe UI"/>
                <w:sz w:val="18"/>
                <w:szCs w:val="18"/>
                <w:lang w:val="en-GB"/>
              </w:rPr>
              <w:t xml:space="preserve">Phillips JT, Fox RJ, Gold R, Havrdova E, Kappos L, Raghupathi K, et al. </w:t>
            </w:r>
            <w:r w:rsidRPr="00F7606D">
              <w:rPr>
                <w:rFonts w:cs="Segoe UI"/>
                <w:bCs/>
                <w:sz w:val="18"/>
                <w:szCs w:val="18"/>
                <w:lang w:val="en-GB"/>
              </w:rPr>
              <w:t>An integrated analysis of safety and tolerability of BG-12 (dimethyl fumarate) in patients with relapsing-remitting multiple sclerosis from phase 2 and 3 placebo-controlled studies</w:t>
            </w:r>
            <w:r w:rsidRPr="00F7606D">
              <w:rPr>
                <w:rFonts w:cs="Segoe UI"/>
                <w:sz w:val="18"/>
                <w:szCs w:val="18"/>
                <w:lang w:val="en-GB"/>
              </w:rPr>
              <w:t>. J Neurol 2013;260:S75.</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993"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6"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1559"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rPr>
                <w:rFonts w:cs="Segoe UI"/>
                <w:sz w:val="18"/>
                <w:szCs w:val="18"/>
                <w:lang w:val="en-GB"/>
              </w:rPr>
            </w:pPr>
          </w:p>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7F3BF7">
              <w:rPr>
                <w:rFonts w:cs="Segoe UI"/>
                <w:sz w:val="18"/>
                <w:szCs w:val="18"/>
                <w:lang w:val="en-GB"/>
              </w:rPr>
              <w:t xml:space="preserve">Stefano N, Comi G, Kappos L, Freedman MS, Polman CH, Uitdehaag BMJ, et al. </w:t>
            </w:r>
            <w:r w:rsidRPr="00F7606D">
              <w:rPr>
                <w:rFonts w:cs="Segoe UI"/>
                <w:bCs/>
                <w:sz w:val="18"/>
                <w:szCs w:val="18"/>
                <w:lang w:val="en-GB"/>
              </w:rPr>
              <w:t>Efficacy of subcutaneous interferon beta-1a on MRI outcomes in a randomised controlled trial of patients with clinically isolated syndromes</w:t>
            </w:r>
            <w:r w:rsidRPr="00F7606D">
              <w:rPr>
                <w:rFonts w:cs="Segoe UI"/>
                <w:sz w:val="18"/>
                <w:szCs w:val="18"/>
                <w:lang w:val="en-GB"/>
              </w:rPr>
              <w:t>. J Neurol Neurosurg Psychiatry 2014;85(6):647-653.</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Y</w:t>
            </w:r>
          </w:p>
        </w:tc>
        <w:tc>
          <w:tcPr>
            <w:tcW w:w="993"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6"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1559"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rPr>
                <w:rFonts w:cs="Segoe UI"/>
                <w:sz w:val="18"/>
                <w:szCs w:val="18"/>
                <w:lang w:val="en-GB"/>
              </w:rPr>
            </w:pPr>
          </w:p>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Not RRMS patients</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Svenningsson A, Sundstrom P, Salzer J, Vagberg M. </w:t>
            </w:r>
            <w:r w:rsidRPr="00F7606D">
              <w:rPr>
                <w:rFonts w:cs="Segoe UI"/>
                <w:bCs/>
                <w:sz w:val="18"/>
                <w:szCs w:val="18"/>
                <w:lang w:val="en-GB"/>
              </w:rPr>
              <w:t>MS disease activity in RESTORE: a randomized 24-week natalizumab treatment interruption study</w:t>
            </w:r>
            <w:r w:rsidRPr="00F7606D">
              <w:rPr>
                <w:rFonts w:cs="Segoe UI"/>
                <w:sz w:val="18"/>
                <w:szCs w:val="18"/>
                <w:lang w:val="en-GB"/>
              </w:rPr>
              <w:t>. Neurology 2014;83(22):2099-2100.</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993"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6"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1559"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rPr>
                <w:rFonts w:cs="Segoe UI"/>
                <w:sz w:val="18"/>
                <w:szCs w:val="18"/>
                <w:lang w:val="en-GB"/>
              </w:rPr>
            </w:pPr>
          </w:p>
          <w:p w:rsidR="007B226E" w:rsidRPr="00F7606D" w:rsidRDefault="007B226E" w:rsidP="00435B8F">
            <w:pPr>
              <w:autoSpaceDE w:val="0"/>
              <w:autoSpaceDN w:val="0"/>
              <w:adjustRightInd w:val="0"/>
              <w:spacing w:line="240" w:lineRule="auto"/>
              <w:contextualSpacing/>
              <w:rPr>
                <w:rFonts w:cs="Segoe UI"/>
                <w:sz w:val="18"/>
                <w:szCs w:val="18"/>
                <w:lang w:val="en-GB"/>
              </w:rPr>
            </w:pP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Tenenbaum N, Schofield L, Meng X, Kern R. </w:t>
            </w:r>
            <w:r w:rsidRPr="00F7606D">
              <w:rPr>
                <w:rFonts w:cs="Segoe UI"/>
                <w:bCs/>
                <w:sz w:val="18"/>
                <w:szCs w:val="18"/>
                <w:lang w:val="en-GB"/>
              </w:rPr>
              <w:t>The preferms study: Evaluating real-world patient retention on oral fingolimod compared with injectable disease modifying therapies in relapsing-remitting multiple sclerosis</w:t>
            </w:r>
            <w:r w:rsidRPr="00F7606D">
              <w:rPr>
                <w:rFonts w:cs="Segoe UI"/>
                <w:sz w:val="18"/>
                <w:szCs w:val="18"/>
                <w:lang w:val="en-GB"/>
              </w:rPr>
              <w:t>. Neurology 2014;1).</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993"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6"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1559"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rPr>
                <w:rFonts w:cs="Segoe UI"/>
                <w:sz w:val="18"/>
                <w:szCs w:val="18"/>
                <w:lang w:val="en-GB"/>
              </w:rPr>
            </w:pPr>
          </w:p>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sz w:val="18"/>
                <w:szCs w:val="18"/>
                <w:lang w:val="en-GB"/>
              </w:rPr>
              <w:br w:type="page"/>
            </w:r>
            <w:r w:rsidRPr="00F7606D">
              <w:rPr>
                <w:rFonts w:cs="Segoe UI"/>
                <w:sz w:val="18"/>
                <w:szCs w:val="18"/>
                <w:lang w:val="en-GB"/>
              </w:rPr>
              <w:t xml:space="preserve">Tolley K, Hutchinson M, Pachner A, Kinter ET, Sperling B, You X, et al. </w:t>
            </w:r>
            <w:r w:rsidRPr="00F7606D">
              <w:rPr>
                <w:rFonts w:cs="Segoe UI"/>
                <w:bCs/>
                <w:sz w:val="18"/>
                <w:szCs w:val="18"/>
                <w:lang w:val="en-GB"/>
              </w:rPr>
              <w:t>Systematic literature review and network meta-analysis of peg-interferon beta-1a and injectable therapies for relapsing-remitting multiple sclerosis</w:t>
            </w:r>
            <w:r w:rsidRPr="00F7606D">
              <w:rPr>
                <w:rFonts w:cs="Segoe UI"/>
                <w:sz w:val="18"/>
                <w:szCs w:val="18"/>
                <w:lang w:val="en-GB"/>
              </w:rPr>
              <w:t>. Mult Scler 2014;1):209.</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993"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6"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1559"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rPr>
                <w:rFonts w:cs="Segoe UI"/>
                <w:sz w:val="18"/>
                <w:szCs w:val="18"/>
                <w:lang w:val="en-GB"/>
              </w:rPr>
            </w:pPr>
          </w:p>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Tunde C. </w:t>
            </w:r>
            <w:r w:rsidRPr="00F7606D">
              <w:rPr>
                <w:rFonts w:cs="Segoe UI"/>
                <w:bCs/>
                <w:sz w:val="18"/>
                <w:szCs w:val="18"/>
                <w:lang w:val="en-GB"/>
              </w:rPr>
              <w:t>[Natalizumab retreatment: effectiveness and long-term safety in multiple sclerosis in the STRATA study]</w:t>
            </w:r>
            <w:r w:rsidRPr="00F7606D">
              <w:rPr>
                <w:rFonts w:cs="Segoe UI"/>
                <w:sz w:val="18"/>
                <w:szCs w:val="18"/>
                <w:lang w:val="en-GB"/>
              </w:rPr>
              <w:t>. Ideggyogyaszati Szemle 2014;67(7-8):277-279.</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993"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426"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1559"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rPr>
                <w:rFonts w:cs="Segoe UI"/>
                <w:sz w:val="18"/>
                <w:szCs w:val="18"/>
                <w:lang w:val="en-GB"/>
              </w:rPr>
            </w:pPr>
          </w:p>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Everybody get Natalizumab</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4105F">
              <w:rPr>
                <w:rFonts w:cs="Segoe UI"/>
                <w:sz w:val="18"/>
                <w:szCs w:val="18"/>
                <w:lang w:val="fr-FR"/>
              </w:rPr>
              <w:t xml:space="preserve">Twyman C, Montalban X, Arnold D, Cohen J, Coles A, Confavreux C, et al. </w:t>
            </w:r>
            <w:r w:rsidRPr="00F7606D">
              <w:rPr>
                <w:rFonts w:cs="Segoe UI"/>
                <w:bCs/>
                <w:sz w:val="18"/>
                <w:szCs w:val="18"/>
                <w:lang w:val="en-GB"/>
              </w:rPr>
              <w:t>Relapse outcomes with alemtuzumab vs IFNB-1A in active relapsing-remitting multiple sclerosis patients who experienced disease activity while on prior therapy (CARE-MS II)</w:t>
            </w:r>
            <w:r w:rsidRPr="00F7606D">
              <w:rPr>
                <w:rFonts w:cs="Segoe UI"/>
                <w:sz w:val="18"/>
                <w:szCs w:val="18"/>
                <w:lang w:val="en-GB"/>
              </w:rPr>
              <w:t>. Neurology 2013;80 (1 MeetingAbstracts).</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993"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6"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1559"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rPr>
                <w:rFonts w:cs="Segoe UI"/>
                <w:sz w:val="18"/>
                <w:szCs w:val="18"/>
                <w:lang w:val="en-GB"/>
              </w:rPr>
            </w:pPr>
          </w:p>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White JT, Kieseier BC, Newsome SD, Zhu Y, Cui Y, Seddighzadeh A, et al. </w:t>
            </w:r>
            <w:r w:rsidRPr="00F7606D">
              <w:rPr>
                <w:rFonts w:cs="Segoe UI"/>
                <w:bCs/>
                <w:sz w:val="18"/>
                <w:szCs w:val="18"/>
                <w:lang w:val="en-GB"/>
              </w:rPr>
              <w:t>Immunogenicity with peg-interferon beta-1a in patients with relapsing-remitting multiple sclerosis: 2-year data from the randomised phase 3, multicentre ADVANCE study in relapsing-remitting multiple sclerosis</w:t>
            </w:r>
            <w:r w:rsidRPr="00F7606D">
              <w:rPr>
                <w:rFonts w:cs="Segoe UI"/>
                <w:sz w:val="18"/>
                <w:szCs w:val="18"/>
                <w:lang w:val="en-GB"/>
              </w:rPr>
              <w:t>. J Neurol 2014;261:S234.</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993"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6"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1559"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rPr>
                <w:rFonts w:cs="Segoe UI"/>
                <w:sz w:val="18"/>
                <w:szCs w:val="18"/>
                <w:lang w:val="en-GB"/>
              </w:rPr>
            </w:pPr>
          </w:p>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62BC7">
              <w:rPr>
                <w:rFonts w:cs="Segoe UI"/>
                <w:sz w:val="18"/>
                <w:szCs w:val="18"/>
                <w:lang w:val="en-US"/>
              </w:rPr>
              <w:t xml:space="preserve">Wolinsky JS, Narayana PA, Nelson F, Datta S, O'Connor P, Confavreux C, et al. </w:t>
            </w:r>
            <w:r w:rsidRPr="00F7606D">
              <w:rPr>
                <w:rFonts w:cs="Segoe UI"/>
                <w:bCs/>
                <w:sz w:val="18"/>
                <w:szCs w:val="18"/>
                <w:lang w:val="en-GB"/>
              </w:rPr>
              <w:t>Magnetic resonance imaging outcomes from a phase III trial of teriflunomide</w:t>
            </w:r>
            <w:r w:rsidRPr="00F7606D">
              <w:rPr>
                <w:rFonts w:cs="Segoe UI"/>
                <w:sz w:val="18"/>
                <w:szCs w:val="18"/>
                <w:lang w:val="en-GB"/>
              </w:rPr>
              <w:t>. Mult Scler 2013;19(10):1310-1319.</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993"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6"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1559"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rPr>
                <w:rFonts w:cs="Segoe UI"/>
                <w:sz w:val="18"/>
                <w:szCs w:val="18"/>
                <w:lang w:val="en-GB"/>
              </w:rPr>
            </w:pPr>
          </w:p>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Not our outcome</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B62BC7">
              <w:rPr>
                <w:rFonts w:cs="Segoe UI"/>
                <w:sz w:val="18"/>
                <w:szCs w:val="18"/>
                <w:lang w:val="en-US"/>
              </w:rPr>
              <w:t xml:space="preserve">Wolinsky JS, Truffinet P, Bauer D, Miller AE. </w:t>
            </w:r>
            <w:r w:rsidRPr="00F7606D">
              <w:rPr>
                <w:rFonts w:cs="Segoe UI"/>
                <w:bCs/>
                <w:sz w:val="18"/>
                <w:szCs w:val="18"/>
                <w:lang w:val="en-GB"/>
              </w:rPr>
              <w:t>Efficacy of teriflunomide in patients with early stage MS: Analysis of the TOPIC study using 2010 McDonald diagnostic criteria</w:t>
            </w:r>
            <w:r w:rsidRPr="00F7606D">
              <w:rPr>
                <w:rFonts w:cs="Segoe UI"/>
                <w:sz w:val="18"/>
                <w:szCs w:val="18"/>
                <w:lang w:val="en-GB"/>
              </w:rPr>
              <w:t>. Mult Scler 2014;1):109-110.</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993"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6"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1559"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rPr>
                <w:rFonts w:cs="Segoe UI"/>
                <w:sz w:val="18"/>
                <w:szCs w:val="18"/>
                <w:lang w:val="en-GB"/>
              </w:rPr>
            </w:pPr>
          </w:p>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Abstract</w:t>
            </w:r>
          </w:p>
        </w:tc>
      </w:tr>
      <w:tr w:rsidR="007B226E" w:rsidRPr="00685670" w:rsidTr="00435B8F">
        <w:tc>
          <w:tcPr>
            <w:tcW w:w="4536" w:type="dxa"/>
          </w:tcPr>
          <w:p w:rsidR="007B226E" w:rsidRPr="00F7606D" w:rsidRDefault="007B226E" w:rsidP="00435B8F">
            <w:pPr>
              <w:tabs>
                <w:tab w:val="clear" w:pos="5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hAnsiTheme="majorHAnsi" w:cs="Segoe UI"/>
                <w:sz w:val="18"/>
                <w:szCs w:val="18"/>
                <w:lang w:val="en-GB"/>
              </w:rPr>
            </w:pPr>
            <w:r w:rsidRPr="00F7606D">
              <w:rPr>
                <w:rFonts w:asciiTheme="majorHAnsi" w:hAnsiTheme="majorHAnsi" w:cs="Courier New"/>
                <w:sz w:val="18"/>
                <w:szCs w:val="18"/>
                <w:lang w:val="en-GB" w:eastAsia="en-US"/>
              </w:rPr>
              <w:t xml:space="preserve">Wolinsky JS, Borresen TE, Dietrich DW, Wynn D, Sidi Y, Steinerman JR, Knappertz V, Kolodny S; GLACIER Study Group. GLACIER: An open-label, randomized, multicenter study to assess the safety and tolerability of glatiramer acetate 40  mg three-times weekly versus 20 mg daily in patients with relapsing-remitting </w:t>
            </w:r>
            <w:r w:rsidRPr="00F7606D">
              <w:rPr>
                <w:rFonts w:asciiTheme="majorHAnsi" w:hAnsiTheme="majorHAnsi"/>
                <w:sz w:val="18"/>
                <w:szCs w:val="18"/>
                <w:lang w:val="en-GB" w:eastAsia="en-US"/>
              </w:rPr>
              <w:t>multiple sclerosis. Mult Scler Relat Disord. 2015 Jul;4(4):370-6</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993"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6"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1559"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All patients used glatiramer acetate 20 mg some of them switched to glatiramer acetate 40 mg</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Zagmutt F, Carroll C. </w:t>
            </w:r>
            <w:r w:rsidRPr="00F7606D">
              <w:rPr>
                <w:rFonts w:cs="Segoe UI"/>
                <w:bCs/>
                <w:sz w:val="18"/>
                <w:szCs w:val="18"/>
                <w:lang w:val="en-GB"/>
              </w:rPr>
              <w:t>A network meta-analysis assessing the rate of adverse events and drop outs of alternative treatments for relapsing forms of multiple sclerosis</w:t>
            </w:r>
            <w:r w:rsidRPr="00F7606D">
              <w:rPr>
                <w:rFonts w:cs="Segoe UI"/>
                <w:sz w:val="18"/>
                <w:szCs w:val="18"/>
                <w:lang w:val="en-GB"/>
              </w:rPr>
              <w:t xml:space="preserve">. Neurology 2013;80 (1 MeetingAbstracts). </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993"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6"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1559"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rPr>
                <w:rFonts w:cs="Segoe UI"/>
                <w:sz w:val="18"/>
                <w:szCs w:val="18"/>
                <w:lang w:val="en-GB"/>
              </w:rPr>
            </w:pPr>
          </w:p>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Abstract</w:t>
            </w:r>
          </w:p>
          <w:p w:rsidR="007B226E" w:rsidRPr="00F7606D" w:rsidRDefault="007B226E" w:rsidP="00435B8F">
            <w:pPr>
              <w:autoSpaceDE w:val="0"/>
              <w:autoSpaceDN w:val="0"/>
              <w:adjustRightInd w:val="0"/>
              <w:spacing w:line="240" w:lineRule="auto"/>
              <w:contextualSpacing/>
              <w:rPr>
                <w:rFonts w:cs="Segoe UI"/>
                <w:sz w:val="18"/>
                <w:szCs w:val="18"/>
                <w:lang w:val="en-GB"/>
              </w:rPr>
            </w:pPr>
          </w:p>
          <w:p w:rsidR="007B226E" w:rsidRPr="00F7606D" w:rsidRDefault="007B226E" w:rsidP="00435B8F">
            <w:pPr>
              <w:autoSpaceDE w:val="0"/>
              <w:autoSpaceDN w:val="0"/>
              <w:adjustRightInd w:val="0"/>
              <w:spacing w:line="240" w:lineRule="auto"/>
              <w:contextualSpacing/>
              <w:rPr>
                <w:rFonts w:cs="Segoe UI"/>
                <w:sz w:val="18"/>
                <w:szCs w:val="18"/>
                <w:lang w:val="en-GB"/>
              </w:rPr>
            </w:pP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sz w:val="18"/>
                <w:szCs w:val="18"/>
                <w:lang w:val="en-GB"/>
              </w:rPr>
              <w:br w:type="page"/>
            </w:r>
            <w:r w:rsidRPr="00F7606D">
              <w:rPr>
                <w:rFonts w:cs="Segoe UI"/>
                <w:sz w:val="18"/>
                <w:szCs w:val="18"/>
                <w:lang w:val="en-GB"/>
              </w:rPr>
              <w:t xml:space="preserve">Zagmutt FJ, Carroll CA. </w:t>
            </w:r>
            <w:r w:rsidRPr="00F7606D">
              <w:rPr>
                <w:rFonts w:cs="Segoe UI"/>
                <w:bCs/>
                <w:sz w:val="18"/>
                <w:szCs w:val="18"/>
                <w:lang w:val="en-GB"/>
              </w:rPr>
              <w:t>Mixed treatment compa rison of adverse events for BG-12, glatiramer, and teriflunomide for the treatment of relapsing forms of multiple sclerosis</w:t>
            </w:r>
            <w:r w:rsidRPr="00F7606D">
              <w:rPr>
                <w:rFonts w:cs="Segoe UI"/>
                <w:sz w:val="18"/>
                <w:szCs w:val="18"/>
                <w:lang w:val="en-GB"/>
              </w:rPr>
              <w:t xml:space="preserve">. Value Health 2013;16 (7):A720. </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993"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6"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1559"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rPr>
                <w:rFonts w:cs="Segoe UI"/>
                <w:sz w:val="18"/>
                <w:szCs w:val="18"/>
                <w:lang w:val="en-GB"/>
              </w:rPr>
            </w:pPr>
          </w:p>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Abstract</w:t>
            </w:r>
          </w:p>
        </w:tc>
      </w:tr>
      <w:tr w:rsidR="007B226E" w:rsidRPr="00F7606D" w:rsidTr="00435B8F">
        <w:tc>
          <w:tcPr>
            <w:tcW w:w="4536" w:type="dxa"/>
          </w:tcPr>
          <w:p w:rsidR="007B226E" w:rsidRPr="00F7606D" w:rsidRDefault="007B226E" w:rsidP="00435B8F">
            <w:pPr>
              <w:widowControl w:val="0"/>
              <w:autoSpaceDE w:val="0"/>
              <w:autoSpaceDN w:val="0"/>
              <w:adjustRightInd w:val="0"/>
              <w:spacing w:line="240" w:lineRule="auto"/>
              <w:contextualSpacing/>
              <w:rPr>
                <w:rFonts w:cs="Segoe UI"/>
                <w:sz w:val="18"/>
                <w:szCs w:val="18"/>
                <w:lang w:val="en-GB"/>
              </w:rPr>
            </w:pPr>
            <w:r w:rsidRPr="00F7606D">
              <w:rPr>
                <w:rFonts w:cs="Segoe UI"/>
                <w:sz w:val="18"/>
                <w:szCs w:val="18"/>
                <w:lang w:val="en-GB"/>
              </w:rPr>
              <w:t xml:space="preserve">Zagmutt FJ, Carroll CA. </w:t>
            </w:r>
            <w:r w:rsidRPr="00F7606D">
              <w:rPr>
                <w:rFonts w:cs="Segoe UI"/>
                <w:bCs/>
                <w:sz w:val="18"/>
                <w:szCs w:val="18"/>
                <w:lang w:val="en-GB"/>
              </w:rPr>
              <w:t>Meta-analysis of adverse events in recent randomized clinical trials for dimethil fumarate, glatiramer acetate and teriflunomide for the treatment of relapsing forms of multiple sclerosis</w:t>
            </w:r>
            <w:r w:rsidRPr="00F7606D">
              <w:rPr>
                <w:rFonts w:cs="Segoe UI"/>
                <w:sz w:val="18"/>
                <w:szCs w:val="18"/>
                <w:lang w:val="en-GB"/>
              </w:rPr>
              <w:t>. Int J Neurosci 2014.</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993"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6"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1559"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SR. Date of search:</w:t>
            </w:r>
          </w:p>
          <w:p w:rsidR="007B226E" w:rsidRPr="00F7606D" w:rsidRDefault="007B226E" w:rsidP="00435B8F">
            <w:pPr>
              <w:autoSpaceDE w:val="0"/>
              <w:autoSpaceDN w:val="0"/>
              <w:adjustRightInd w:val="0"/>
              <w:spacing w:line="240" w:lineRule="auto"/>
              <w:contextualSpacing/>
              <w:rPr>
                <w:rFonts w:cs="PlantinStd"/>
                <w:sz w:val="17"/>
                <w:szCs w:val="17"/>
                <w:lang w:val="en-GB"/>
              </w:rPr>
            </w:pPr>
            <w:r w:rsidRPr="00F7606D">
              <w:rPr>
                <w:rFonts w:cs="PlantinStd"/>
                <w:sz w:val="17"/>
                <w:szCs w:val="17"/>
                <w:lang w:val="en-GB"/>
              </w:rPr>
              <w:t>January 2013</w:t>
            </w:r>
          </w:p>
          <w:p w:rsidR="007B226E" w:rsidRPr="00F7606D" w:rsidRDefault="007B226E" w:rsidP="00435B8F">
            <w:pPr>
              <w:autoSpaceDE w:val="0"/>
              <w:autoSpaceDN w:val="0"/>
              <w:adjustRightInd w:val="0"/>
              <w:spacing w:line="240" w:lineRule="auto"/>
              <w:contextualSpacing/>
              <w:rPr>
                <w:rFonts w:cs="Segoe UI"/>
                <w:sz w:val="18"/>
                <w:szCs w:val="18"/>
                <w:lang w:val="en-GB"/>
              </w:rPr>
            </w:pPr>
          </w:p>
        </w:tc>
      </w:tr>
      <w:tr w:rsidR="007B226E" w:rsidRPr="00F7606D" w:rsidTr="00435B8F">
        <w:tc>
          <w:tcPr>
            <w:tcW w:w="4536" w:type="dxa"/>
          </w:tcPr>
          <w:p w:rsidR="007B226E" w:rsidRPr="00F7606D" w:rsidRDefault="007B226E" w:rsidP="004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Segoe UI"/>
                <w:color w:val="000000"/>
                <w:sz w:val="18"/>
                <w:szCs w:val="18"/>
                <w:lang w:val="en-GB"/>
              </w:rPr>
            </w:pPr>
            <w:r w:rsidRPr="007F3BF7">
              <w:rPr>
                <w:rFonts w:cs="Segoe UI"/>
                <w:color w:val="000000"/>
                <w:sz w:val="18"/>
                <w:szCs w:val="18"/>
                <w:lang w:val="en-GB"/>
              </w:rPr>
              <w:t xml:space="preserve">Kieseier BC, Arnold DL, Balcer LJ, Boyko AA, Pelletier J, Liu S, Zhu Y, Seddighzadeh A, Hung S, Deykin A, Sheikh SI, Calabresi PA. </w:t>
            </w:r>
            <w:r w:rsidRPr="00F7606D">
              <w:rPr>
                <w:rFonts w:cs="Segoe UI"/>
                <w:color w:val="000000"/>
                <w:sz w:val="18"/>
                <w:szCs w:val="18"/>
                <w:lang w:val="en-GB"/>
              </w:rPr>
              <w:t>Peg-interferon beta-1a  in multiple sclerosis: 2-year results from ADVANCE. Mult Scler. 2014</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993" w:type="dxa"/>
          </w:tcPr>
          <w:p w:rsidR="007B226E" w:rsidRPr="00F7606D" w:rsidRDefault="007B226E" w:rsidP="00435B8F">
            <w:pPr>
              <w:autoSpaceDE w:val="0"/>
              <w:autoSpaceDN w:val="0"/>
              <w:adjustRightInd w:val="0"/>
              <w:spacing w:line="240" w:lineRule="auto"/>
              <w:contextualSpacing/>
              <w:rPr>
                <w:rFonts w:cs="Segoe UI"/>
                <w:sz w:val="18"/>
                <w:szCs w:val="18"/>
                <w:lang w:val="en-GB"/>
              </w:rPr>
            </w:pP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Y</w:t>
            </w: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Y</w:t>
            </w:r>
          </w:p>
        </w:tc>
        <w:tc>
          <w:tcPr>
            <w:tcW w:w="425"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426"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Y</w:t>
            </w:r>
          </w:p>
        </w:tc>
        <w:tc>
          <w:tcPr>
            <w:tcW w:w="567"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N</w:t>
            </w:r>
          </w:p>
        </w:tc>
        <w:tc>
          <w:tcPr>
            <w:tcW w:w="1559" w:type="dxa"/>
          </w:tcPr>
          <w:p w:rsidR="007B226E" w:rsidRPr="00F7606D" w:rsidRDefault="007B226E" w:rsidP="00435B8F">
            <w:pPr>
              <w:autoSpaceDE w:val="0"/>
              <w:autoSpaceDN w:val="0"/>
              <w:adjustRightInd w:val="0"/>
              <w:spacing w:line="240" w:lineRule="auto"/>
              <w:contextualSpacing/>
              <w:rPr>
                <w:rFonts w:cs="Segoe UI"/>
                <w:sz w:val="18"/>
                <w:szCs w:val="18"/>
                <w:lang w:val="en-GB"/>
              </w:rPr>
            </w:pPr>
            <w:r w:rsidRPr="00F7606D">
              <w:rPr>
                <w:rFonts w:cs="Segoe UI"/>
                <w:sz w:val="18"/>
                <w:szCs w:val="18"/>
                <w:lang w:val="en-GB"/>
              </w:rPr>
              <w:t>Exclude</w:t>
            </w:r>
          </w:p>
          <w:p w:rsidR="007B226E" w:rsidRPr="00F7606D" w:rsidRDefault="007B226E" w:rsidP="00435B8F">
            <w:pPr>
              <w:autoSpaceDE w:val="0"/>
              <w:autoSpaceDN w:val="0"/>
              <w:adjustRightInd w:val="0"/>
              <w:spacing w:line="240" w:lineRule="auto"/>
              <w:contextualSpacing/>
              <w:rPr>
                <w:rFonts w:cs="Segoe UI"/>
                <w:sz w:val="18"/>
                <w:szCs w:val="18"/>
                <w:lang w:val="en-GB"/>
              </w:rPr>
            </w:pPr>
          </w:p>
          <w:p w:rsidR="007B226E" w:rsidRPr="00F7606D" w:rsidRDefault="007B226E" w:rsidP="00435B8F">
            <w:pPr>
              <w:autoSpaceDE w:val="0"/>
              <w:autoSpaceDN w:val="0"/>
              <w:adjustRightInd w:val="0"/>
              <w:spacing w:line="240" w:lineRule="auto"/>
              <w:contextualSpacing/>
              <w:rPr>
                <w:rFonts w:cs="Segoe UI"/>
                <w:sz w:val="18"/>
                <w:szCs w:val="18"/>
                <w:lang w:val="en-GB"/>
              </w:rPr>
            </w:pPr>
          </w:p>
        </w:tc>
      </w:tr>
    </w:tbl>
    <w:p w:rsidR="00845182" w:rsidRDefault="00845182">
      <w:pPr>
        <w:rPr>
          <w:rFonts w:ascii="Times New Roman" w:hAnsi="Times New Roman" w:cs="Times New Roman"/>
          <w:sz w:val="28"/>
        </w:rPr>
      </w:pPr>
    </w:p>
    <w:p w:rsidR="00845182" w:rsidRDefault="00845182" w:rsidP="00845182">
      <w:pPr>
        <w:spacing w:line="240" w:lineRule="auto"/>
        <w:contextualSpacing/>
        <w:jc w:val="both"/>
      </w:pPr>
    </w:p>
    <w:p w:rsidR="00845182" w:rsidRPr="007F3BF7" w:rsidRDefault="00845182" w:rsidP="000D044E">
      <w:pPr>
        <w:pStyle w:val="20"/>
        <w:numPr>
          <w:ilvl w:val="0"/>
          <w:numId w:val="0"/>
        </w:numPr>
        <w:rPr>
          <w:rFonts w:ascii="Times New Roman" w:hAnsi="Times New Roman" w:cs="Times New Roman"/>
          <w:sz w:val="28"/>
        </w:rPr>
      </w:pPr>
      <w:r w:rsidRPr="007F3BF7">
        <w:rPr>
          <w:rFonts w:ascii="Times New Roman" w:hAnsi="Times New Roman" w:cs="Times New Roman"/>
          <w:sz w:val="28"/>
        </w:rPr>
        <w:t xml:space="preserve">Supplementary material </w:t>
      </w:r>
      <w:r w:rsidR="000D044E">
        <w:rPr>
          <w:rFonts w:ascii="Times New Roman" w:hAnsi="Times New Roman" w:cs="Times New Roman"/>
          <w:sz w:val="28"/>
        </w:rPr>
        <w:t>10</w:t>
      </w:r>
      <w:r>
        <w:rPr>
          <w:rFonts w:ascii="Times New Roman" w:hAnsi="Times New Roman" w:cs="Times New Roman"/>
          <w:sz w:val="28"/>
        </w:rPr>
        <w:t xml:space="preserve"> </w:t>
      </w:r>
      <w:r w:rsidR="00B76419">
        <w:rPr>
          <w:rFonts w:ascii="Times New Roman" w:hAnsi="Times New Roman" w:cs="Times New Roman"/>
          <w:sz w:val="28"/>
        </w:rPr>
        <w:t>Ongoing studies and other potential relevant literature</w:t>
      </w:r>
    </w:p>
    <w:p w:rsidR="00845182" w:rsidRDefault="00845182" w:rsidP="00845182">
      <w:pPr>
        <w:spacing w:line="240" w:lineRule="auto"/>
        <w:contextualSpacing/>
        <w:jc w:val="both"/>
      </w:pPr>
    </w:p>
    <w:p w:rsidR="00845182" w:rsidRPr="00F7606D" w:rsidRDefault="00845182" w:rsidP="00845182">
      <w:pPr>
        <w:spacing w:line="240" w:lineRule="auto"/>
        <w:contextualSpacing/>
        <w:jc w:val="both"/>
      </w:pPr>
      <w:r w:rsidRPr="00F7606D">
        <w:t xml:space="preserve">Below is the list of randomized control trials identifiend on the </w:t>
      </w:r>
      <w:r w:rsidRPr="00F7606D">
        <w:rPr>
          <w:rStyle w:val="apple-converted-space"/>
          <w:rFonts w:cs="Calibri"/>
          <w:bCs/>
          <w:color w:val="0A0905"/>
          <w:shd w:val="clear" w:color="auto" w:fill="FFFFFF"/>
        </w:rPr>
        <w:t xml:space="preserve">WHO ICTRP website. Due to the lack of information, we could not determine whether these studies fit our criteria of selection. These studies may add to the evidence. </w:t>
      </w:r>
    </w:p>
    <w:p w:rsidR="00845182" w:rsidRPr="00F7606D" w:rsidRDefault="00845182" w:rsidP="00845182">
      <w:pPr>
        <w:spacing w:line="240" w:lineRule="auto"/>
        <w:contextualSpacing/>
        <w:jc w:val="both"/>
      </w:pPr>
    </w:p>
    <w:p w:rsidR="00845182" w:rsidRPr="00F7606D" w:rsidRDefault="00845182" w:rsidP="00845182">
      <w:pPr>
        <w:jc w:val="both"/>
        <w:rPr>
          <w:rFonts w:cs="Arial"/>
          <w:color w:val="000000" w:themeColor="text1"/>
        </w:rPr>
      </w:pPr>
      <w:r w:rsidRPr="00F7606D">
        <w:rPr>
          <w:color w:val="000000" w:themeColor="text1"/>
        </w:rPr>
        <w:t xml:space="preserve">1) </w:t>
      </w:r>
      <w:hyperlink r:id="rId13" w:tgtFrame="_blank" w:history="1">
        <w:r w:rsidRPr="00F7606D">
          <w:rPr>
            <w:rFonts w:cs="Arial"/>
            <w:color w:val="000000" w:themeColor="text1"/>
          </w:rPr>
          <w:t>Retinal Nerve Fiber Layer (RNFL) as measured by Optical Coherence Tomography (OCT) to Depict axonal loss in Early RRMS treated with difFEreNt dosage of subCutaneous IFN bEta 1a - DEFENCE</w:t>
        </w:r>
      </w:hyperlink>
    </w:p>
    <w:p w:rsidR="00845182" w:rsidRPr="00F7606D" w:rsidRDefault="00204467" w:rsidP="00845182">
      <w:pPr>
        <w:jc w:val="both"/>
        <w:rPr>
          <w:color w:val="000000" w:themeColor="text1"/>
        </w:rPr>
      </w:pPr>
      <w:hyperlink r:id="rId14" w:history="1">
        <w:r w:rsidR="00845182" w:rsidRPr="00F7606D">
          <w:rPr>
            <w:rStyle w:val="ae"/>
            <w:color w:val="000000" w:themeColor="text1"/>
          </w:rPr>
          <w:t>http://apps.who.int/trialsearch/Trial2.aspx?TrialID=EUCTR2009-015007-97-IT</w:t>
        </w:r>
      </w:hyperlink>
    </w:p>
    <w:p w:rsidR="00845182" w:rsidRPr="00F7606D" w:rsidRDefault="00845182" w:rsidP="00845182">
      <w:pPr>
        <w:jc w:val="both"/>
        <w:rPr>
          <w:rFonts w:cs="Arial"/>
          <w:color w:val="000000" w:themeColor="text1"/>
        </w:rPr>
      </w:pPr>
      <w:r>
        <w:rPr>
          <w:color w:val="000000" w:themeColor="text1"/>
        </w:rPr>
        <w:t>2</w:t>
      </w:r>
      <w:r w:rsidRPr="00F7606D">
        <w:rPr>
          <w:color w:val="000000" w:themeColor="text1"/>
        </w:rPr>
        <w:t xml:space="preserve">) </w:t>
      </w:r>
      <w:hyperlink r:id="rId15" w:tgtFrame="_blank" w:history="1">
        <w:r w:rsidRPr="00F7606D">
          <w:rPr>
            <w:rFonts w:cs="Arial"/>
            <w:color w:val="000000" w:themeColor="text1"/>
          </w:rPr>
          <w:t>Long-Term Safety and Efficacy Study of Oral BG00012 Monotherapy in Relapsing-Remitting Multiple Sclerosis</w:t>
        </w:r>
      </w:hyperlink>
    </w:p>
    <w:p w:rsidR="00845182" w:rsidRPr="00F7606D" w:rsidRDefault="00204467" w:rsidP="00845182">
      <w:pPr>
        <w:jc w:val="both"/>
        <w:rPr>
          <w:color w:val="000000" w:themeColor="text1"/>
        </w:rPr>
      </w:pPr>
      <w:hyperlink r:id="rId16" w:history="1">
        <w:r w:rsidR="00845182" w:rsidRPr="00F7606D">
          <w:rPr>
            <w:rStyle w:val="ae"/>
            <w:color w:val="000000" w:themeColor="text1"/>
          </w:rPr>
          <w:t>http://apps.who.int/trialsearch/Trial2.aspx?TrialID=EUCTR2008-004753-14-BE</w:t>
        </w:r>
      </w:hyperlink>
    </w:p>
    <w:p w:rsidR="00845182" w:rsidRPr="00F7606D" w:rsidRDefault="00845182" w:rsidP="00845182">
      <w:pPr>
        <w:jc w:val="both"/>
        <w:rPr>
          <w:rFonts w:cs="Arial"/>
          <w:color w:val="000000" w:themeColor="text1"/>
        </w:rPr>
      </w:pPr>
      <w:r>
        <w:rPr>
          <w:color w:val="000000" w:themeColor="text1"/>
        </w:rPr>
        <w:t>3</w:t>
      </w:r>
      <w:r w:rsidRPr="00F7606D">
        <w:rPr>
          <w:color w:val="000000" w:themeColor="text1"/>
        </w:rPr>
        <w:t xml:space="preserve">) </w:t>
      </w:r>
      <w:hyperlink r:id="rId17" w:tgtFrame="_blank" w:history="1">
        <w:r w:rsidRPr="00F7606D">
          <w:rPr>
            <w:rFonts w:cs="Arial"/>
            <w:color w:val="000000" w:themeColor="text1"/>
          </w:rPr>
          <w:t>ADVANCED MRI STUDY ON INFLAMMATORY AND DEGENRATIVE DAMAGE IN MULTIPLE SCLEROSIS - RMaIDSM</w:t>
        </w:r>
      </w:hyperlink>
    </w:p>
    <w:p w:rsidR="00845182" w:rsidRPr="00F7606D" w:rsidRDefault="00204467" w:rsidP="00845182">
      <w:pPr>
        <w:jc w:val="both"/>
        <w:rPr>
          <w:color w:val="000000" w:themeColor="text1"/>
        </w:rPr>
      </w:pPr>
      <w:hyperlink r:id="rId18" w:history="1">
        <w:r w:rsidR="00845182" w:rsidRPr="00F7606D">
          <w:rPr>
            <w:rStyle w:val="ae"/>
            <w:color w:val="000000" w:themeColor="text1"/>
          </w:rPr>
          <w:t>http://apps.who.int/trialsearch/Trial2.aspx?TrialID=EUCTR2008-007162-32-IT</w:t>
        </w:r>
      </w:hyperlink>
    </w:p>
    <w:p w:rsidR="00845182" w:rsidRPr="00F7606D" w:rsidRDefault="00845182" w:rsidP="00845182">
      <w:pPr>
        <w:spacing w:line="240" w:lineRule="auto"/>
        <w:jc w:val="both"/>
        <w:rPr>
          <w:rFonts w:cs="Arial"/>
          <w:color w:val="000000" w:themeColor="text1"/>
        </w:rPr>
      </w:pPr>
      <w:r>
        <w:rPr>
          <w:color w:val="000000" w:themeColor="text1"/>
        </w:rPr>
        <w:t>4</w:t>
      </w:r>
      <w:r w:rsidRPr="00F7606D">
        <w:rPr>
          <w:color w:val="000000" w:themeColor="text1"/>
        </w:rPr>
        <w:t xml:space="preserve">) </w:t>
      </w:r>
      <w:hyperlink r:id="rId19" w:tgtFrame="_blank" w:history="1">
        <w:r w:rsidRPr="00F7606D">
          <w:rPr>
            <w:rFonts w:cs="Arial"/>
            <w:color w:val="000000" w:themeColor="text1"/>
          </w:rPr>
          <w:t>A Phase 3 Randomized, Rater- and Dose-Blinded Study Comparing Two Annual Cycles of Intravenous Low- and High-Dose Alemtuzumab to Three-Times Weekly Subcutaneous Interferon Beta-1a (Rebif®) in Patients with Relapsing-Remitting Multiple Scleroris Who Have Relapsed On Therapy - CARE MS-II</w:t>
        </w:r>
      </w:hyperlink>
      <w:r w:rsidRPr="00F7606D">
        <w:rPr>
          <w:rFonts w:cs="Arial"/>
          <w:color w:val="000000" w:themeColor="text1"/>
        </w:rPr>
        <w:t xml:space="preserve"> </w:t>
      </w:r>
    </w:p>
    <w:p w:rsidR="00845182" w:rsidRPr="00F7606D" w:rsidRDefault="00204467" w:rsidP="00845182">
      <w:pPr>
        <w:jc w:val="both"/>
        <w:rPr>
          <w:color w:val="000000" w:themeColor="text1"/>
        </w:rPr>
      </w:pPr>
      <w:hyperlink r:id="rId20" w:history="1">
        <w:r w:rsidR="00845182" w:rsidRPr="00F7606D">
          <w:rPr>
            <w:rStyle w:val="ae"/>
            <w:color w:val="000000" w:themeColor="text1"/>
          </w:rPr>
          <w:t>http://apps.who.int/trialsearch/Trial2.aspx?TrialID=EUCTR2007-001162-32-GB</w:t>
        </w:r>
      </w:hyperlink>
    </w:p>
    <w:p w:rsidR="00845182" w:rsidRPr="00F7606D" w:rsidRDefault="00845182" w:rsidP="00845182">
      <w:pPr>
        <w:spacing w:line="240" w:lineRule="auto"/>
        <w:jc w:val="both"/>
        <w:rPr>
          <w:color w:val="000000" w:themeColor="text1"/>
        </w:rPr>
      </w:pPr>
      <w:r>
        <w:rPr>
          <w:color w:val="000000" w:themeColor="text1"/>
        </w:rPr>
        <w:t>5</w:t>
      </w:r>
      <w:r w:rsidRPr="00F7606D">
        <w:rPr>
          <w:color w:val="000000" w:themeColor="text1"/>
        </w:rPr>
        <w:t xml:space="preserve">) Long-term extension of the multinational, double-blind, placebo controlled study EFC6049 (HMR1726D/3001) to document the safety of two doses of teriflunomide (7 and 14 mg) in patients with multiple sclerosis with relapses </w:t>
      </w:r>
    </w:p>
    <w:p w:rsidR="00845182" w:rsidRPr="00F7606D" w:rsidRDefault="00204467" w:rsidP="00845182">
      <w:pPr>
        <w:jc w:val="both"/>
        <w:rPr>
          <w:color w:val="000000" w:themeColor="text1"/>
        </w:rPr>
      </w:pPr>
      <w:hyperlink r:id="rId21" w:history="1">
        <w:r w:rsidR="00845182" w:rsidRPr="00F7606D">
          <w:rPr>
            <w:rStyle w:val="ae"/>
            <w:color w:val="000000" w:themeColor="text1"/>
          </w:rPr>
          <w:t>http://apps.who.int/trialsearch/Trial2.aspx?TrialID=EUCTR2006-003361-14-FI</w:t>
        </w:r>
      </w:hyperlink>
    </w:p>
    <w:p w:rsidR="00845182" w:rsidRPr="00F7606D" w:rsidRDefault="00845182" w:rsidP="00845182">
      <w:pPr>
        <w:jc w:val="both"/>
        <w:rPr>
          <w:color w:val="000000" w:themeColor="text1"/>
        </w:rPr>
      </w:pPr>
      <w:r>
        <w:rPr>
          <w:color w:val="000000" w:themeColor="text1"/>
        </w:rPr>
        <w:t>6</w:t>
      </w:r>
      <w:r w:rsidRPr="00F7606D">
        <w:rPr>
          <w:color w:val="000000" w:themeColor="text1"/>
        </w:rPr>
        <w:t>) A pilot multi-centre randomised controlled trial of sequential treatment with Mitoxantrone and Glatiramer Acetate vs. Interferon Beta-1a in early active relapsing remitting Multiple Sclerosis</w:t>
      </w:r>
    </w:p>
    <w:p w:rsidR="00845182" w:rsidRPr="00F7606D" w:rsidRDefault="00204467" w:rsidP="00845182">
      <w:pPr>
        <w:jc w:val="both"/>
        <w:rPr>
          <w:color w:val="000000" w:themeColor="text1"/>
        </w:rPr>
      </w:pPr>
      <w:hyperlink r:id="rId22" w:history="1">
        <w:r w:rsidR="00845182" w:rsidRPr="00F7606D">
          <w:rPr>
            <w:rStyle w:val="ae"/>
            <w:color w:val="000000" w:themeColor="text1"/>
          </w:rPr>
          <w:t>http://apps.who.int/trialsearch/Trial2.aspx?TrialID=EUCTR2004-004903-39-GB</w:t>
        </w:r>
      </w:hyperlink>
    </w:p>
    <w:p w:rsidR="00845182" w:rsidRPr="00F7606D" w:rsidRDefault="00845182" w:rsidP="00845182">
      <w:pPr>
        <w:jc w:val="both"/>
        <w:rPr>
          <w:color w:val="000000" w:themeColor="text1"/>
        </w:rPr>
      </w:pPr>
      <w:r>
        <w:rPr>
          <w:color w:val="000000" w:themeColor="text1"/>
        </w:rPr>
        <w:t>7</w:t>
      </w:r>
      <w:r w:rsidRPr="00F7606D">
        <w:rPr>
          <w:color w:val="000000" w:themeColor="text1"/>
        </w:rPr>
        <w:t xml:space="preserve">) Study of Montelukast on Gastrointestinal Tolerability in Patients With Relapsing Forms of Multiple Sclerosis Receiving Tecfidera </w:t>
      </w:r>
    </w:p>
    <w:p w:rsidR="00845182" w:rsidRPr="00F7606D" w:rsidRDefault="00204467" w:rsidP="00845182">
      <w:pPr>
        <w:jc w:val="both"/>
        <w:rPr>
          <w:color w:val="000000" w:themeColor="text1"/>
        </w:rPr>
      </w:pPr>
      <w:hyperlink r:id="rId23" w:history="1">
        <w:r w:rsidR="00845182" w:rsidRPr="00F7606D">
          <w:rPr>
            <w:rStyle w:val="ae"/>
            <w:color w:val="000000" w:themeColor="text1"/>
          </w:rPr>
          <w:t>http://apps.who.int/trialsearch/Trial2.aspx?TrialID=NCT02410278</w:t>
        </w:r>
      </w:hyperlink>
    </w:p>
    <w:p w:rsidR="00845182" w:rsidRPr="00F7606D" w:rsidRDefault="00845182" w:rsidP="00845182">
      <w:pPr>
        <w:spacing w:line="240" w:lineRule="auto"/>
        <w:jc w:val="both"/>
        <w:rPr>
          <w:rFonts w:cs="Arial"/>
          <w:color w:val="000000" w:themeColor="text1"/>
        </w:rPr>
      </w:pPr>
      <w:r>
        <w:rPr>
          <w:color w:val="000000" w:themeColor="text1"/>
        </w:rPr>
        <w:t>8</w:t>
      </w:r>
      <w:r w:rsidRPr="00F7606D">
        <w:rPr>
          <w:color w:val="000000" w:themeColor="text1"/>
        </w:rPr>
        <w:t xml:space="preserve">) </w:t>
      </w:r>
      <w:hyperlink r:id="rId24" w:tgtFrame="_blank" w:history="1">
        <w:r w:rsidRPr="00F7606D">
          <w:rPr>
            <w:rFonts w:cs="Arial"/>
            <w:color w:val="000000" w:themeColor="text1"/>
          </w:rPr>
          <w:t>Impact of Natalizumab versus Fingolimod on Central Nervous System (CNS) Tissue Damage and Recovery in Active Relapsing-Remitting Multiple Sclerosis (RRMS) Subjects</w:t>
        </w:r>
      </w:hyperlink>
      <w:r w:rsidRPr="00F7606D">
        <w:rPr>
          <w:rFonts w:cs="Arial"/>
          <w:color w:val="000000" w:themeColor="text1"/>
        </w:rPr>
        <w:t xml:space="preserve"> </w:t>
      </w:r>
    </w:p>
    <w:p w:rsidR="00845182" w:rsidRPr="00F7606D" w:rsidRDefault="00204467" w:rsidP="00845182">
      <w:pPr>
        <w:jc w:val="both"/>
        <w:rPr>
          <w:color w:val="000000" w:themeColor="text1"/>
        </w:rPr>
      </w:pPr>
      <w:hyperlink r:id="rId25" w:history="1">
        <w:r w:rsidR="00845182" w:rsidRPr="00F7606D">
          <w:rPr>
            <w:rStyle w:val="ae"/>
            <w:color w:val="000000" w:themeColor="text1"/>
          </w:rPr>
          <w:t>http://apps.who.int/trialsearch/Trial2.aspx?TrialID=EUCTR2013-004622-29-IT</w:t>
        </w:r>
      </w:hyperlink>
    </w:p>
    <w:p w:rsidR="00845182" w:rsidRPr="00F7606D" w:rsidRDefault="00845182" w:rsidP="00845182">
      <w:pPr>
        <w:jc w:val="both"/>
        <w:rPr>
          <w:rFonts w:cs="Arial"/>
          <w:color w:val="000000" w:themeColor="text1"/>
        </w:rPr>
      </w:pPr>
      <w:r w:rsidRPr="00F7606D">
        <w:rPr>
          <w:color w:val="000000" w:themeColor="text1"/>
        </w:rPr>
        <w:t xml:space="preserve">10) </w:t>
      </w:r>
      <w:hyperlink r:id="rId26" w:tgtFrame="_blank" w:history="1">
        <w:r w:rsidRPr="00F7606D">
          <w:rPr>
            <w:rFonts w:cs="Arial"/>
            <w:color w:val="000000" w:themeColor="text1"/>
          </w:rPr>
          <w:t>A study to evaluate the effect of aspirin on flushing in patients with RRMS treated with Tecfidera</w:t>
        </w:r>
      </w:hyperlink>
    </w:p>
    <w:p w:rsidR="00845182" w:rsidRPr="00F7606D" w:rsidRDefault="00204467" w:rsidP="00845182">
      <w:pPr>
        <w:jc w:val="both"/>
        <w:rPr>
          <w:color w:val="000000" w:themeColor="text1"/>
        </w:rPr>
      </w:pPr>
      <w:hyperlink r:id="rId27" w:history="1">
        <w:r w:rsidR="00845182" w:rsidRPr="00F7606D">
          <w:rPr>
            <w:rStyle w:val="ae"/>
            <w:color w:val="000000" w:themeColor="text1"/>
          </w:rPr>
          <w:t>http://apps.who.int/trialsearch/Trial2.aspx?TrialID=EUCTR2013-001895-40-IE</w:t>
        </w:r>
      </w:hyperlink>
    </w:p>
    <w:p w:rsidR="00845182" w:rsidRPr="00F7606D" w:rsidRDefault="00845182" w:rsidP="00845182">
      <w:pPr>
        <w:spacing w:line="240" w:lineRule="auto"/>
        <w:jc w:val="both"/>
        <w:rPr>
          <w:rFonts w:cs="Arial"/>
          <w:color w:val="000000" w:themeColor="text1"/>
        </w:rPr>
      </w:pPr>
      <w:r>
        <w:rPr>
          <w:color w:val="000000" w:themeColor="text1"/>
        </w:rPr>
        <w:t>9</w:t>
      </w:r>
      <w:r w:rsidRPr="00F7606D">
        <w:rPr>
          <w:color w:val="000000" w:themeColor="text1"/>
        </w:rPr>
        <w:t xml:space="preserve">) </w:t>
      </w:r>
      <w:hyperlink r:id="rId28" w:tgtFrame="_blank" w:history="1">
        <w:r w:rsidRPr="00F7606D">
          <w:rPr>
            <w:rFonts w:cs="Arial"/>
            <w:color w:val="000000" w:themeColor="text1"/>
          </w:rPr>
          <w:t>Study to investigate the ability of a blood-derived score to select patients with relapsing multiple sclerosis who benefit from treatment with human immune globulin</w:t>
        </w:r>
      </w:hyperlink>
    </w:p>
    <w:p w:rsidR="00845182" w:rsidRPr="00F7606D" w:rsidRDefault="00204467" w:rsidP="00845182">
      <w:pPr>
        <w:jc w:val="both"/>
        <w:rPr>
          <w:color w:val="000000" w:themeColor="text1"/>
        </w:rPr>
      </w:pPr>
      <w:hyperlink r:id="rId29" w:history="1">
        <w:r w:rsidR="00845182" w:rsidRPr="00F7606D">
          <w:rPr>
            <w:rStyle w:val="ae"/>
            <w:color w:val="000000" w:themeColor="text1"/>
          </w:rPr>
          <w:t>http://apps.who.int/trialsearch/Trial2.aspx?TrialID=EUCTR2012-005086-12-AT</w:t>
        </w:r>
      </w:hyperlink>
    </w:p>
    <w:p w:rsidR="00845182" w:rsidRPr="00F7606D" w:rsidRDefault="00845182" w:rsidP="00845182">
      <w:pPr>
        <w:jc w:val="both"/>
        <w:rPr>
          <w:rFonts w:cs="Arial"/>
          <w:color w:val="000000" w:themeColor="text1"/>
        </w:rPr>
      </w:pPr>
      <w:r>
        <w:rPr>
          <w:color w:val="000000" w:themeColor="text1"/>
        </w:rPr>
        <w:t>10</w:t>
      </w:r>
      <w:r w:rsidRPr="00F7606D">
        <w:rPr>
          <w:color w:val="000000" w:themeColor="text1"/>
        </w:rPr>
        <w:t xml:space="preserve">) </w:t>
      </w:r>
      <w:hyperlink r:id="rId30" w:tgtFrame="_blank" w:history="1">
        <w:r w:rsidRPr="00F7606D">
          <w:rPr>
            <w:rFonts w:cs="Arial"/>
            <w:color w:val="000000" w:themeColor="text1"/>
          </w:rPr>
          <w:t>MS Study Evaluating Safety and Efficacy of Two Doses of Fingolimod Versus Copaxone</w:t>
        </w:r>
      </w:hyperlink>
      <w:r w:rsidRPr="00F7606D">
        <w:rPr>
          <w:rFonts w:cs="Arial"/>
          <w:color w:val="000000" w:themeColor="text1"/>
        </w:rPr>
        <w:t xml:space="preserve"> </w:t>
      </w:r>
    </w:p>
    <w:p w:rsidR="00845182" w:rsidRPr="00F7606D" w:rsidRDefault="00204467" w:rsidP="00845182">
      <w:pPr>
        <w:jc w:val="both"/>
        <w:rPr>
          <w:color w:val="000000" w:themeColor="text1"/>
        </w:rPr>
      </w:pPr>
      <w:hyperlink r:id="rId31" w:history="1">
        <w:r w:rsidR="00845182" w:rsidRPr="00F7606D">
          <w:rPr>
            <w:rStyle w:val="ae"/>
            <w:color w:val="000000" w:themeColor="text1"/>
          </w:rPr>
          <w:t>http://apps.who.int/trialsearch/Trial2.aspx?TrialID=NCT01633112</w:t>
        </w:r>
      </w:hyperlink>
    </w:p>
    <w:p w:rsidR="00845182" w:rsidRPr="00F7606D" w:rsidRDefault="00845182" w:rsidP="00845182">
      <w:pPr>
        <w:jc w:val="both"/>
        <w:rPr>
          <w:color w:val="000000" w:themeColor="text1"/>
        </w:rPr>
      </w:pPr>
      <w:r w:rsidRPr="00F7606D">
        <w:rPr>
          <w:color w:val="000000" w:themeColor="text1"/>
        </w:rPr>
        <w:t>1</w:t>
      </w:r>
      <w:r>
        <w:rPr>
          <w:color w:val="000000" w:themeColor="text1"/>
        </w:rPr>
        <w:t>1</w:t>
      </w:r>
      <w:r w:rsidRPr="00F7606D">
        <w:rPr>
          <w:color w:val="000000" w:themeColor="text1"/>
        </w:rPr>
        <w:t>) A Study of Ocrelizumab in Comparison With Interferon Beta-1a in Patients With Relapsing Multiple Sclerosis</w:t>
      </w:r>
    </w:p>
    <w:p w:rsidR="00845182" w:rsidRPr="00F7606D" w:rsidRDefault="00204467" w:rsidP="00845182">
      <w:pPr>
        <w:jc w:val="both"/>
        <w:rPr>
          <w:color w:val="000000" w:themeColor="text1"/>
        </w:rPr>
      </w:pPr>
      <w:hyperlink r:id="rId32" w:history="1">
        <w:r w:rsidR="00845182" w:rsidRPr="00F7606D">
          <w:rPr>
            <w:rStyle w:val="ae"/>
            <w:color w:val="000000" w:themeColor="text1"/>
          </w:rPr>
          <w:t>http://apps.who.int/trialsearch/Trial2.aspx?TrialID=EUCTR2010-020315-36-BE</w:t>
        </w:r>
      </w:hyperlink>
    </w:p>
    <w:p w:rsidR="00845182" w:rsidRPr="00F7606D" w:rsidRDefault="00845182" w:rsidP="00845182">
      <w:pPr>
        <w:jc w:val="both"/>
        <w:rPr>
          <w:color w:val="000000" w:themeColor="text1"/>
        </w:rPr>
      </w:pPr>
      <w:r w:rsidRPr="00F7606D">
        <w:rPr>
          <w:color w:val="000000" w:themeColor="text1"/>
        </w:rPr>
        <w:t>1</w:t>
      </w:r>
      <w:r>
        <w:rPr>
          <w:color w:val="000000" w:themeColor="text1"/>
        </w:rPr>
        <w:t>2</w:t>
      </w:r>
      <w:r w:rsidRPr="00F7606D">
        <w:rPr>
          <w:color w:val="000000" w:themeColor="text1"/>
        </w:rPr>
        <w:t>) A 18-month, open-label, rater-blinded, randomized, multi-center, active-controlled, parallel-group pilot study to assess efficacy and safety of fingolimod (Gilenya) in comparison to interferon beta-1b in treating the cognitive symptoms associated to relapsing-remitting multiple sclerosis and to assess possible relationship of these effects to regional brain atrophy</w:t>
      </w:r>
    </w:p>
    <w:p w:rsidR="00845182" w:rsidRPr="00F7606D" w:rsidRDefault="00204467" w:rsidP="00845182">
      <w:pPr>
        <w:jc w:val="both"/>
        <w:rPr>
          <w:color w:val="000000" w:themeColor="text1"/>
        </w:rPr>
      </w:pPr>
      <w:hyperlink r:id="rId33" w:history="1">
        <w:r w:rsidR="00845182" w:rsidRPr="00F7606D">
          <w:rPr>
            <w:rStyle w:val="ae"/>
            <w:color w:val="000000" w:themeColor="text1"/>
          </w:rPr>
          <w:t>http://apps.who.int/trialsearch/Trial2.aspx?TrialID=EUCTR2010-023023-19-IT</w:t>
        </w:r>
      </w:hyperlink>
    </w:p>
    <w:p w:rsidR="00845182" w:rsidRPr="00F7606D" w:rsidRDefault="00845182" w:rsidP="00845182">
      <w:pPr>
        <w:jc w:val="both"/>
        <w:rPr>
          <w:color w:val="000000" w:themeColor="text1"/>
        </w:rPr>
      </w:pPr>
      <w:r w:rsidRPr="00F7606D">
        <w:rPr>
          <w:color w:val="000000" w:themeColor="text1"/>
        </w:rPr>
        <w:t>1</w:t>
      </w:r>
      <w:r>
        <w:rPr>
          <w:color w:val="000000" w:themeColor="text1"/>
        </w:rPr>
        <w:t>3</w:t>
      </w:r>
      <w:r w:rsidRPr="00F7606D">
        <w:rPr>
          <w:color w:val="000000" w:themeColor="text1"/>
        </w:rPr>
        <w:t>) A Study of Ocrelizumab in Comparison With Interferon Beta-1a in Patients With Relapsing Multiple Sclerosis</w:t>
      </w:r>
    </w:p>
    <w:p w:rsidR="007B226E" w:rsidRDefault="00204467" w:rsidP="00B95EA6">
      <w:pPr>
        <w:jc w:val="both"/>
        <w:rPr>
          <w:rFonts w:ascii="Times New Roman" w:eastAsia="Times New Roman" w:hAnsi="Times New Roman" w:cs="Times New Roman"/>
          <w:b/>
          <w:bCs/>
          <w:sz w:val="28"/>
          <w:szCs w:val="28"/>
        </w:rPr>
      </w:pPr>
      <w:hyperlink r:id="rId34" w:history="1">
        <w:r w:rsidR="00845182" w:rsidRPr="00F7606D">
          <w:rPr>
            <w:rStyle w:val="ae"/>
            <w:color w:val="000000" w:themeColor="text1"/>
          </w:rPr>
          <w:t>http://apps.who.int/trialsearch/Trial2.aspx?TrialID=EUCTR2010-020337-99-GB</w:t>
        </w:r>
      </w:hyperlink>
      <w:r w:rsidR="007B226E">
        <w:rPr>
          <w:rFonts w:ascii="Times New Roman" w:hAnsi="Times New Roman" w:cs="Times New Roman"/>
          <w:sz w:val="28"/>
        </w:rPr>
        <w:br w:type="page"/>
      </w:r>
    </w:p>
    <w:p w:rsidR="00EA7D99" w:rsidRDefault="00EA7D99" w:rsidP="00EA7D99">
      <w:pPr>
        <w:pStyle w:val="20"/>
        <w:numPr>
          <w:ilvl w:val="0"/>
          <w:numId w:val="0"/>
        </w:numPr>
        <w:rPr>
          <w:rFonts w:ascii="Times New Roman" w:hAnsi="Times New Roman" w:cs="Times New Roman"/>
          <w:sz w:val="28"/>
        </w:rPr>
      </w:pPr>
      <w:r>
        <w:rPr>
          <w:rFonts w:ascii="Times New Roman" w:hAnsi="Times New Roman" w:cs="Times New Roman"/>
          <w:sz w:val="28"/>
        </w:rPr>
        <w:t xml:space="preserve">Supplementary material </w:t>
      </w:r>
      <w:r w:rsidR="00845182">
        <w:rPr>
          <w:rFonts w:ascii="Times New Roman" w:hAnsi="Times New Roman" w:cs="Times New Roman"/>
          <w:sz w:val="28"/>
        </w:rPr>
        <w:t>1</w:t>
      </w:r>
      <w:r w:rsidR="000D044E">
        <w:rPr>
          <w:rFonts w:ascii="Times New Roman" w:hAnsi="Times New Roman" w:cs="Times New Roman"/>
          <w:sz w:val="28"/>
        </w:rPr>
        <w:t>1</w:t>
      </w:r>
      <w:r>
        <w:rPr>
          <w:rFonts w:ascii="Times New Roman" w:hAnsi="Times New Roman" w:cs="Times New Roman"/>
          <w:sz w:val="28"/>
        </w:rPr>
        <w:t xml:space="preserve"> Trial description, data extraction and Risk of Bias tables for the included trials</w:t>
      </w:r>
    </w:p>
    <w:p w:rsidR="00746324" w:rsidRPr="00746324" w:rsidRDefault="00746324" w:rsidP="00746324"/>
    <w:p w:rsidR="00EA7D99" w:rsidRPr="00746324" w:rsidRDefault="00746324" w:rsidP="00EA7D99">
      <w:pPr>
        <w:rPr>
          <w:b/>
        </w:rPr>
      </w:pPr>
      <w:r w:rsidRPr="00746324">
        <w:rPr>
          <w:b/>
        </w:rPr>
        <w:t>Notes on the following tables:</w:t>
      </w:r>
    </w:p>
    <w:p w:rsidR="00EA7D99" w:rsidRPr="00F7606D" w:rsidRDefault="00EA7D99" w:rsidP="00746324">
      <w:pPr>
        <w:pStyle w:val="afff6"/>
        <w:numPr>
          <w:ilvl w:val="0"/>
          <w:numId w:val="17"/>
        </w:numPr>
        <w:spacing w:line="240" w:lineRule="auto"/>
        <w:ind w:left="360"/>
        <w:contextualSpacing/>
        <w:jc w:val="both"/>
        <w:rPr>
          <w:szCs w:val="22"/>
          <w:lang w:val="en-GB"/>
        </w:rPr>
      </w:pPr>
      <w:r w:rsidRPr="00F7606D">
        <w:rPr>
          <w:szCs w:val="22"/>
          <w:lang w:val="en-GB"/>
        </w:rPr>
        <w:t>Unless otherwise stated, the baseline characteristics described are those of all participants in the study</w:t>
      </w:r>
    </w:p>
    <w:p w:rsidR="00EA7D99" w:rsidRPr="00F7606D" w:rsidRDefault="00EA7D99" w:rsidP="00746324">
      <w:pPr>
        <w:pStyle w:val="afff6"/>
        <w:numPr>
          <w:ilvl w:val="0"/>
          <w:numId w:val="17"/>
        </w:numPr>
        <w:spacing w:line="240" w:lineRule="auto"/>
        <w:ind w:left="360"/>
        <w:contextualSpacing/>
        <w:jc w:val="both"/>
        <w:rPr>
          <w:szCs w:val="22"/>
          <w:lang w:val="en-GB"/>
        </w:rPr>
      </w:pPr>
      <w:r w:rsidRPr="00F7606D">
        <w:rPr>
          <w:szCs w:val="22"/>
          <w:lang w:val="en-GB"/>
        </w:rPr>
        <w:t>Unless otherwise stated, the statistics presented for age and Expanded Disability Status Scale (EDSS) are means (+/-standard deviation)</w:t>
      </w:r>
    </w:p>
    <w:p w:rsidR="00EA7D99" w:rsidRPr="00F7606D" w:rsidRDefault="00EA7D99" w:rsidP="00746324">
      <w:pPr>
        <w:pStyle w:val="afff6"/>
        <w:numPr>
          <w:ilvl w:val="0"/>
          <w:numId w:val="17"/>
        </w:numPr>
        <w:spacing w:line="240" w:lineRule="auto"/>
        <w:ind w:left="360"/>
        <w:contextualSpacing/>
        <w:jc w:val="both"/>
        <w:rPr>
          <w:szCs w:val="22"/>
          <w:lang w:val="en-GB"/>
        </w:rPr>
      </w:pPr>
      <w:r w:rsidRPr="00F7606D">
        <w:rPr>
          <w:szCs w:val="22"/>
          <w:lang w:val="en-GB"/>
        </w:rPr>
        <w:t>The following tables are presented by alphabetic order of the medicine considered as the intervention of interest.</w:t>
      </w:r>
    </w:p>
    <w:p w:rsidR="00EA7D99" w:rsidRPr="00F7606D" w:rsidRDefault="00EA7D99" w:rsidP="00746324">
      <w:pPr>
        <w:pStyle w:val="afff6"/>
        <w:numPr>
          <w:ilvl w:val="0"/>
          <w:numId w:val="17"/>
        </w:numPr>
        <w:spacing w:line="240" w:lineRule="auto"/>
        <w:ind w:left="360"/>
        <w:contextualSpacing/>
        <w:jc w:val="both"/>
        <w:rPr>
          <w:szCs w:val="22"/>
          <w:lang w:val="en-GB"/>
        </w:rPr>
      </w:pPr>
      <w:r w:rsidRPr="00F7606D">
        <w:rPr>
          <w:szCs w:val="22"/>
          <w:lang w:val="en-GB"/>
        </w:rPr>
        <w:t xml:space="preserve">List of abbreviations used in tables: </w:t>
      </w:r>
    </w:p>
    <w:p w:rsidR="00EA7D99" w:rsidRPr="00F7606D" w:rsidRDefault="00EA7D99" w:rsidP="00EA7D99">
      <w:pPr>
        <w:pStyle w:val="afff6"/>
        <w:spacing w:line="240" w:lineRule="auto"/>
        <w:contextualSpacing/>
        <w:jc w:val="both"/>
        <w:rPr>
          <w:szCs w:val="22"/>
          <w:lang w:val="en-GB"/>
        </w:rPr>
      </w:pPr>
      <w:r w:rsidRPr="00F7606D">
        <w:rPr>
          <w:szCs w:val="22"/>
          <w:lang w:val="en-GB"/>
        </w:rPr>
        <w:tab/>
        <w:t>IV= intravenous;</w:t>
      </w:r>
    </w:p>
    <w:p w:rsidR="00EA7D99" w:rsidRPr="00F7606D" w:rsidRDefault="00EA7D99" w:rsidP="00EA7D99">
      <w:pPr>
        <w:pStyle w:val="afff6"/>
        <w:spacing w:line="240" w:lineRule="auto"/>
        <w:contextualSpacing/>
        <w:jc w:val="both"/>
        <w:rPr>
          <w:szCs w:val="22"/>
          <w:lang w:val="en-GB"/>
        </w:rPr>
      </w:pPr>
      <w:r w:rsidRPr="00F7606D">
        <w:rPr>
          <w:szCs w:val="22"/>
          <w:lang w:val="en-GB"/>
        </w:rPr>
        <w:tab/>
        <w:t>IM= intra muscular</w:t>
      </w:r>
    </w:p>
    <w:p w:rsidR="00EA7D99" w:rsidRPr="00F7606D" w:rsidRDefault="00EA7D99" w:rsidP="00EA7D99">
      <w:pPr>
        <w:pStyle w:val="afff6"/>
        <w:spacing w:line="240" w:lineRule="auto"/>
        <w:contextualSpacing/>
        <w:jc w:val="both"/>
        <w:rPr>
          <w:szCs w:val="22"/>
          <w:lang w:val="en-GB"/>
        </w:rPr>
      </w:pPr>
      <w:r w:rsidRPr="00F7606D">
        <w:rPr>
          <w:szCs w:val="22"/>
          <w:lang w:val="en-GB"/>
        </w:rPr>
        <w:tab/>
        <w:t xml:space="preserve">SC= subcutaneous; </w:t>
      </w:r>
    </w:p>
    <w:p w:rsidR="00EA7D99" w:rsidRPr="00F7606D" w:rsidRDefault="00EA7D99" w:rsidP="00EA7D99">
      <w:pPr>
        <w:pStyle w:val="afff6"/>
        <w:spacing w:line="240" w:lineRule="auto"/>
        <w:contextualSpacing/>
        <w:jc w:val="both"/>
        <w:rPr>
          <w:szCs w:val="22"/>
          <w:lang w:val="en-GB"/>
        </w:rPr>
      </w:pPr>
      <w:r w:rsidRPr="00F7606D">
        <w:rPr>
          <w:szCs w:val="22"/>
          <w:lang w:val="en-GB"/>
        </w:rPr>
        <w:tab/>
        <w:t>mg = milligram</w:t>
      </w:r>
    </w:p>
    <w:p w:rsidR="00EA7D99" w:rsidRPr="00F7606D" w:rsidRDefault="00EA7D99" w:rsidP="00EA7D99">
      <w:pPr>
        <w:pStyle w:val="afff6"/>
        <w:spacing w:line="240" w:lineRule="auto"/>
        <w:contextualSpacing/>
        <w:jc w:val="both"/>
        <w:rPr>
          <w:szCs w:val="22"/>
          <w:lang w:val="en-GB"/>
        </w:rPr>
      </w:pPr>
      <w:r w:rsidRPr="00F7606D">
        <w:rPr>
          <w:szCs w:val="22"/>
          <w:lang w:val="en-GB"/>
        </w:rPr>
        <w:tab/>
        <w:t>mcg=micrograms</w:t>
      </w:r>
    </w:p>
    <w:p w:rsidR="00EA7D99" w:rsidRPr="00F7606D" w:rsidRDefault="00EA7D99" w:rsidP="00EA7D99">
      <w:pPr>
        <w:pStyle w:val="afff6"/>
        <w:spacing w:line="240" w:lineRule="auto"/>
        <w:contextualSpacing/>
        <w:jc w:val="both"/>
        <w:rPr>
          <w:szCs w:val="22"/>
          <w:lang w:val="en-GB"/>
        </w:rPr>
      </w:pPr>
      <w:r w:rsidRPr="00F7606D">
        <w:rPr>
          <w:szCs w:val="22"/>
          <w:lang w:val="en-GB"/>
        </w:rPr>
        <w:tab/>
        <w:t>q.d.= once daily</w:t>
      </w:r>
    </w:p>
    <w:p w:rsidR="00EA7D99" w:rsidRPr="00F7606D" w:rsidRDefault="00EA7D99" w:rsidP="00EA7D99">
      <w:pPr>
        <w:pStyle w:val="afff6"/>
        <w:spacing w:line="240" w:lineRule="auto"/>
        <w:contextualSpacing/>
        <w:jc w:val="both"/>
        <w:rPr>
          <w:szCs w:val="22"/>
          <w:lang w:val="en-GB"/>
        </w:rPr>
      </w:pPr>
      <w:r w:rsidRPr="00F7606D">
        <w:rPr>
          <w:szCs w:val="22"/>
          <w:lang w:val="en-GB"/>
        </w:rPr>
        <w:tab/>
        <w:t>q.w.= once weekly</w:t>
      </w:r>
    </w:p>
    <w:p w:rsidR="00EA7D99" w:rsidRDefault="00EA7D99" w:rsidP="00746324">
      <w:pPr>
        <w:pStyle w:val="afff6"/>
        <w:spacing w:line="240" w:lineRule="auto"/>
        <w:contextualSpacing/>
        <w:jc w:val="both"/>
        <w:rPr>
          <w:szCs w:val="22"/>
          <w:lang w:val="en-GB"/>
        </w:rPr>
      </w:pPr>
      <w:r w:rsidRPr="00F7606D">
        <w:rPr>
          <w:szCs w:val="22"/>
          <w:lang w:val="en-GB"/>
        </w:rPr>
        <w:tab/>
        <w:t>t.i.w.= three times weekly</w:t>
      </w:r>
    </w:p>
    <w:p w:rsidR="00746324" w:rsidRPr="00F7606D" w:rsidRDefault="00746324" w:rsidP="00746324">
      <w:pPr>
        <w:pStyle w:val="afff6"/>
        <w:spacing w:line="240" w:lineRule="auto"/>
        <w:contextualSpacing/>
        <w:jc w:val="both"/>
        <w:rPr>
          <w:b/>
        </w:rPr>
      </w:pPr>
    </w:p>
    <w:p w:rsidR="00EA7D99" w:rsidRPr="00F7606D" w:rsidRDefault="00EA7D99" w:rsidP="00EA7D99">
      <w:pPr>
        <w:pStyle w:val="31"/>
        <w:spacing w:line="240" w:lineRule="auto"/>
        <w:contextualSpacing/>
        <w:jc w:val="both"/>
        <w:rPr>
          <w:szCs w:val="22"/>
          <w:lang w:val="en-GB"/>
        </w:rPr>
      </w:pPr>
      <w:r w:rsidRPr="00F7606D">
        <w:rPr>
          <w:szCs w:val="22"/>
          <w:lang w:val="en-GB"/>
        </w:rPr>
        <w:t>Alemtuzumab</w:t>
      </w:r>
    </w:p>
    <w:p w:rsidR="00EA7D99" w:rsidRPr="00F7606D" w:rsidRDefault="00EA7D99" w:rsidP="00746324">
      <w:pPr>
        <w:pStyle w:val="41"/>
        <w:numPr>
          <w:ilvl w:val="0"/>
          <w:numId w:val="0"/>
        </w:numPr>
        <w:spacing w:line="240" w:lineRule="auto"/>
        <w:contextualSpacing/>
        <w:jc w:val="both"/>
        <w:rPr>
          <w:szCs w:val="22"/>
          <w:lang w:val="en-GB"/>
        </w:rPr>
      </w:pPr>
      <w:r w:rsidRPr="0075275D">
        <w:rPr>
          <w:szCs w:val="22"/>
          <w:lang w:val="en-GB"/>
        </w:rPr>
        <w:t xml:space="preserve">CAMMS223-study 2008, CAMMS223 Trial Investigators </w:t>
      </w:r>
      <w:r w:rsidR="00204467" w:rsidRPr="0075275D">
        <w:rPr>
          <w:szCs w:val="22"/>
          <w:lang w:val="en-GB"/>
        </w:rPr>
        <w:fldChar w:fldCharType="begin">
          <w:fldData xml:space="preserve">PEVuZE5vdGU+PENpdGU+PEF1dGhvcj5Db2xlczwvQXV0aG9yPjxZZWFyPjIwMDg8L1llYXI+PFJl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</w:fldData>
        </w:fldChar>
      </w:r>
      <w:r w:rsidRPr="0075275D">
        <w:rPr>
          <w:szCs w:val="22"/>
          <w:lang w:val="en-GB"/>
        </w:rPr>
        <w:instrText xml:space="preserve"> ADDIN EN.CITE </w:instrText>
      </w:r>
      <w:r w:rsidR="00204467" w:rsidRPr="0075275D">
        <w:rPr>
          <w:szCs w:val="22"/>
          <w:lang w:val="en-GB"/>
        </w:rPr>
        <w:fldChar w:fldCharType="begin">
          <w:fldData xml:space="preserve">PEVuZE5vdGU+PENpdGU+PEF1dGhvcj5Db2xlczwvQXV0aG9yPjxZZWFyPjIwMDg8L1llYXI+PFJl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</w:fldData>
        </w:fldChar>
      </w:r>
      <w:r w:rsidRPr="0075275D">
        <w:rPr>
          <w:szCs w:val="22"/>
          <w:lang w:val="en-GB"/>
        </w:rPr>
        <w:instrText xml:space="preserve"> ADDIN EN.CITE.DATA </w:instrText>
      </w:r>
      <w:r w:rsidR="00204467" w:rsidRPr="0075275D">
        <w:rPr>
          <w:szCs w:val="22"/>
          <w:lang w:val="en-GB"/>
        </w:rPr>
      </w:r>
      <w:r w:rsidR="00204467" w:rsidRPr="0075275D">
        <w:rPr>
          <w:szCs w:val="22"/>
          <w:lang w:val="en-GB"/>
        </w:rPr>
        <w:fldChar w:fldCharType="end"/>
      </w:r>
      <w:r w:rsidR="00204467" w:rsidRPr="0075275D">
        <w:rPr>
          <w:szCs w:val="22"/>
          <w:lang w:val="en-GB"/>
        </w:rPr>
      </w:r>
      <w:r w:rsidR="00204467" w:rsidRPr="0075275D">
        <w:rPr>
          <w:szCs w:val="22"/>
          <w:lang w:val="en-GB"/>
        </w:rPr>
        <w:fldChar w:fldCharType="separate"/>
      </w:r>
      <w:r w:rsidRPr="0075275D">
        <w:rPr>
          <w:noProof/>
          <w:szCs w:val="22"/>
          <w:lang w:val="en-GB"/>
        </w:rPr>
        <w:t>(</w:t>
      </w:r>
      <w:r w:rsidR="001E0F19" w:rsidRPr="0075275D">
        <w:rPr>
          <w:noProof/>
          <w:szCs w:val="22"/>
          <w:lang w:val="en-GB"/>
        </w:rPr>
        <w:t>Coles et al 2008</w:t>
      </w:r>
      <w:r w:rsidRPr="0075275D">
        <w:rPr>
          <w:noProof/>
          <w:szCs w:val="22"/>
          <w:lang w:val="en-GB"/>
        </w:rPr>
        <w:t>)</w:t>
      </w:r>
      <w:r w:rsidR="00204467" w:rsidRPr="0075275D">
        <w:rPr>
          <w:szCs w:val="22"/>
          <w:lang w:val="en-GB"/>
        </w:rPr>
        <w:fldChar w:fldCharType="end"/>
      </w:r>
      <w:r w:rsidRPr="0075275D">
        <w:rPr>
          <w:szCs w:val="22"/>
          <w:lang w:val="en-GB"/>
        </w:rPr>
        <w:t xml:space="preserve">, </w:t>
      </w:r>
      <w:r w:rsidRPr="00852BF9">
        <w:rPr>
          <w:szCs w:val="22"/>
          <w:lang w:val="en-GB"/>
        </w:rPr>
        <w:t xml:space="preserve">included (incl.) in </w:t>
      </w:r>
      <w:r w:rsidR="00663354" w:rsidRPr="00852BF9">
        <w:rPr>
          <w:szCs w:val="22"/>
          <w:lang w:val="en-GB"/>
        </w:rPr>
        <w:t>Tran</w:t>
      </w:r>
      <w:r w:rsidRPr="00852BF9">
        <w:rPr>
          <w:szCs w:val="22"/>
          <w:lang w:val="en-GB"/>
        </w:rPr>
        <w:t xml:space="preserve"> et al. </w:t>
      </w:r>
      <w:r w:rsidR="00204467" w:rsidRPr="00852BF9">
        <w:rPr>
          <w:szCs w:val="22"/>
          <w:lang w:val="en-GB"/>
        </w:rPr>
        <w:fldChar w:fldCharType="begin"/>
      </w:r>
      <w:r w:rsidRPr="00852BF9">
        <w:rPr>
          <w:szCs w:val="22"/>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852BF9">
        <w:rPr>
          <w:szCs w:val="22"/>
          <w:lang w:val="en-GB"/>
        </w:rPr>
        <w:fldChar w:fldCharType="separate"/>
      </w:r>
      <w:r w:rsidRPr="00852BF9">
        <w:rPr>
          <w:noProof/>
          <w:szCs w:val="22"/>
          <w:lang w:val="en-GB"/>
        </w:rPr>
        <w:t>(</w:t>
      </w:r>
      <w:r w:rsidR="001E0F19" w:rsidRPr="00852BF9">
        <w:rPr>
          <w:noProof/>
          <w:szCs w:val="22"/>
          <w:lang w:val="en-GB"/>
        </w:rPr>
        <w:t>2013</w:t>
      </w:r>
      <w:r w:rsidRPr="00852BF9">
        <w:rPr>
          <w:noProof/>
          <w:szCs w:val="22"/>
          <w:lang w:val="en-GB"/>
        </w:rPr>
        <w:t>)</w:t>
      </w:r>
      <w:r w:rsidR="00204467" w:rsidRPr="00852BF9">
        <w:rPr>
          <w:szCs w:val="22"/>
          <w:lang w:val="en-GB"/>
        </w:rPr>
        <w:fldChar w:fldCharType="end"/>
      </w:r>
    </w:p>
    <w:tbl>
      <w:tblPr>
        <w:tblStyle w:val="afff"/>
        <w:tblW w:w="9497" w:type="dxa"/>
        <w:tblLook w:val="04A0"/>
      </w:tblPr>
      <w:tblGrid>
        <w:gridCol w:w="2689"/>
        <w:gridCol w:w="1559"/>
        <w:gridCol w:w="5249"/>
      </w:tblGrid>
      <w:tr w:rsidR="00EA7D99" w:rsidRPr="00F7606D" w:rsidTr="00EA7D99">
        <w:tc>
          <w:tcPr>
            <w:tcW w:w="2689"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RCT identification</w:t>
            </w:r>
          </w:p>
        </w:tc>
        <w:tc>
          <w:tcPr>
            <w:tcW w:w="680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OTNEJMQuadraat" w:cs="OTNEJMQuadraat"/>
                <w:szCs w:val="22"/>
                <w:lang w:val="en-GB" w:eastAsia="en-US"/>
              </w:rPr>
              <w:t>NCT00050778</w:t>
            </w:r>
          </w:p>
        </w:tc>
      </w:tr>
      <w:tr w:rsidR="00EA7D99" w:rsidRPr="00685670" w:rsidTr="00EA7D99">
        <w:tc>
          <w:tcPr>
            <w:tcW w:w="2689"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Study setting</w:t>
            </w:r>
          </w:p>
        </w:tc>
        <w:tc>
          <w:tcPr>
            <w:tcW w:w="680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Rater-blinded, randomized controlled trial in 49 centres in Europe and US</w:t>
            </w:r>
          </w:p>
        </w:tc>
      </w:tr>
      <w:tr w:rsidR="00EA7D99" w:rsidRPr="00685670" w:rsidTr="00EA7D99">
        <w:tc>
          <w:tcPr>
            <w:tcW w:w="2689"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 xml:space="preserve">Participants </w:t>
            </w:r>
          </w:p>
        </w:tc>
        <w:tc>
          <w:tcPr>
            <w:tcW w:w="680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Eligibility criteria</w:t>
            </w:r>
            <w:r w:rsidRPr="00F7606D">
              <w:rPr>
                <w:rFonts w:ascii="Georgia" w:hAnsi="Georgia"/>
                <w:sz w:val="22"/>
                <w:szCs w:val="22"/>
                <w:u w:val="single"/>
                <w:lang w:val="en-GB"/>
              </w:rPr>
              <w:t>:</w:t>
            </w:r>
            <w:r w:rsidRPr="00F7606D">
              <w:rPr>
                <w:rFonts w:ascii="Georgia" w:hAnsi="Georgia"/>
                <w:sz w:val="22"/>
                <w:szCs w:val="22"/>
                <w:lang w:val="en-GB"/>
              </w:rPr>
              <w:t xml:space="preserve"> Diagnosis of RRMS (McDonald criteria) with an onset of symptoms no more than 36 months before the time of screening, EDSS = 0 to 3.0; had one or more enhancing lesions on MRI; with ≥ 2 relapses during the previous 2 years.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Key exclusion criteria</w:t>
            </w:r>
            <w:r w:rsidRPr="00F7606D">
              <w:rPr>
                <w:szCs w:val="22"/>
                <w:u w:val="single"/>
                <w:lang w:val="en-GB"/>
              </w:rPr>
              <w:t xml:space="preserve">: </w:t>
            </w:r>
            <w:r w:rsidRPr="00F7606D">
              <w:rPr>
                <w:szCs w:val="22"/>
                <w:lang w:val="en-GB"/>
              </w:rPr>
              <w:t xml:space="preserve">Previous disease-modifying treatment; presence of serum antithyrotropin-receptor antibodies.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P641C"/>
                <w:i/>
                <w:szCs w:val="22"/>
                <w:u w:val="single"/>
                <w:lang w:val="en-GB" w:eastAsia="en-US"/>
              </w:rPr>
              <w:t>Baseline characteristics</w:t>
            </w:r>
            <w:r w:rsidRPr="00F7606D">
              <w:rPr>
                <w:rFonts w:eastAsiaTheme="minorHAnsi" w:cs="AdvP641C"/>
                <w:szCs w:val="22"/>
                <w:u w:val="single"/>
                <w:lang w:val="en-GB" w:eastAsia="en-US"/>
              </w:rPr>
              <w:t>:</w:t>
            </w:r>
            <w:r w:rsidRPr="00F7606D">
              <w:rPr>
                <w:rFonts w:eastAsiaTheme="minorHAnsi" w:cs="AdvP641C"/>
                <w:szCs w:val="22"/>
                <w:lang w:val="en-GB" w:eastAsia="en-US"/>
              </w:rPr>
              <w:t xml:space="preserve"> Age 32+/-8; 64% female; EDSS 2,0+/-0.8</w:t>
            </w:r>
          </w:p>
        </w:tc>
      </w:tr>
      <w:tr w:rsidR="00EA7D99" w:rsidRPr="00685670" w:rsidTr="00EA7D99">
        <w:tc>
          <w:tcPr>
            <w:tcW w:w="2689"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Intervention group</w:t>
            </w:r>
          </w:p>
        </w:tc>
        <w:tc>
          <w:tcPr>
            <w:tcW w:w="680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bCs/>
                <w:sz w:val="22"/>
                <w:szCs w:val="22"/>
                <w:lang w:val="en-GB"/>
              </w:rPr>
            </w:pPr>
            <w:r w:rsidRPr="00F7606D">
              <w:rPr>
                <w:rFonts w:ascii="Georgia" w:hAnsi="Georgia"/>
                <w:bCs/>
                <w:sz w:val="22"/>
                <w:szCs w:val="22"/>
                <w:lang w:val="en-GB"/>
              </w:rPr>
              <w:t>Annual alemtuzumab:</w:t>
            </w: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bCs/>
                <w:sz w:val="22"/>
                <w:szCs w:val="22"/>
                <w:lang w:val="en-GB"/>
              </w:rPr>
              <w:t xml:space="preserve">- Alemtuzumab 12 mg IV q.d., 5 consecutive days at 1st month, 3 consecutive days at months 12 and 24 </w:t>
            </w:r>
            <w:r w:rsidRPr="00F7606D">
              <w:rPr>
                <w:rFonts w:ascii="Georgia" w:hAnsi="Georgia"/>
                <w:sz w:val="22"/>
                <w:szCs w:val="22"/>
                <w:lang w:val="en-GB"/>
              </w:rPr>
              <w:t xml:space="preserve">(n = 113) </w:t>
            </w:r>
          </w:p>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sz w:val="22"/>
                <w:szCs w:val="22"/>
                <w:lang w:val="pt-PT"/>
              </w:rPr>
              <w:t xml:space="preserve">- </w:t>
            </w:r>
            <w:r w:rsidRPr="00B4105F">
              <w:rPr>
                <w:rFonts w:ascii="Georgia" w:hAnsi="Georgia"/>
                <w:bCs/>
                <w:sz w:val="22"/>
                <w:szCs w:val="22"/>
                <w:lang w:val="pt-PT"/>
              </w:rPr>
              <w:t xml:space="preserve">Alemtuzumab 24 mg IV q.d. </w:t>
            </w:r>
            <w:r w:rsidRPr="00B4105F">
              <w:rPr>
                <w:rFonts w:ascii="Georgia" w:hAnsi="Georgia"/>
                <w:sz w:val="22"/>
                <w:szCs w:val="22"/>
                <w:lang w:val="pt-PT"/>
              </w:rPr>
              <w:t xml:space="preserve">(n = 110) </w:t>
            </w:r>
          </w:p>
        </w:tc>
      </w:tr>
      <w:tr w:rsidR="00EA7D99" w:rsidRPr="00685670" w:rsidTr="00EA7D99">
        <w:tc>
          <w:tcPr>
            <w:tcW w:w="2689"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Comparison group</w:t>
            </w:r>
          </w:p>
        </w:tc>
        <w:tc>
          <w:tcPr>
            <w:tcW w:w="6808"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 xml:space="preserve">Interferon beta-1a 44 mcg SC t.i.w. </w:t>
            </w:r>
            <w:r w:rsidRPr="00B4105F">
              <w:rPr>
                <w:rFonts w:ascii="Georgia" w:hAnsi="Georgia"/>
                <w:sz w:val="22"/>
                <w:szCs w:val="22"/>
                <w:lang w:val="pt-PT"/>
              </w:rPr>
              <w:t xml:space="preserve">(n = 111) </w:t>
            </w:r>
          </w:p>
        </w:tc>
      </w:tr>
      <w:tr w:rsidR="00EA7D99" w:rsidRPr="00E02224" w:rsidTr="00EA7D99">
        <w:tc>
          <w:tcPr>
            <w:tcW w:w="2689"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w:t>
            </w:r>
          </w:p>
        </w:tc>
        <w:tc>
          <w:tcPr>
            <w:tcW w:w="680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endpoints</w:t>
            </w:r>
            <w:r w:rsidRPr="00F7606D">
              <w:rPr>
                <w:rFonts w:ascii="Georgia" w:hAnsi="Georgia"/>
                <w:sz w:val="22"/>
                <w:szCs w:val="22"/>
                <w:u w:val="single"/>
                <w:lang w:val="en-GB"/>
              </w:rPr>
              <w:t>:</w:t>
            </w:r>
            <w:r w:rsidRPr="00F7606D">
              <w:rPr>
                <w:rFonts w:ascii="Georgia" w:hAnsi="Georgia"/>
                <w:sz w:val="22"/>
                <w:szCs w:val="22"/>
                <w:lang w:val="en-GB"/>
              </w:rPr>
              <w:t xml:space="preserve"> Sustained accumulation of disability and rate of relapse.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Secondary endpoints</w:t>
            </w:r>
            <w:r w:rsidRPr="00F7606D">
              <w:rPr>
                <w:szCs w:val="22"/>
                <w:u w:val="single"/>
                <w:lang w:val="en-GB"/>
              </w:rPr>
              <w:t>:</w:t>
            </w:r>
            <w:r w:rsidRPr="00F7606D">
              <w:rPr>
                <w:szCs w:val="22"/>
                <w:lang w:val="en-GB"/>
              </w:rPr>
              <w:t xml:space="preserve"> Proportion of patients with relapse-free MS, different MRI outcomes.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szCs w:val="22"/>
                <w:u w:val="single"/>
                <w:lang w:val="en-GB"/>
              </w:rPr>
              <w:t>Definitions used for endpoints:</w:t>
            </w:r>
            <w:r w:rsidRPr="00F7606D">
              <w:rPr>
                <w:szCs w:val="22"/>
                <w:lang w:val="en-GB"/>
              </w:rPr>
              <w:t xml:space="preserve"> </w:t>
            </w:r>
            <w:r w:rsidRPr="00F7606D">
              <w:rPr>
                <w:i/>
                <w:iCs/>
                <w:szCs w:val="22"/>
                <w:u w:val="single"/>
                <w:lang w:val="en-GB"/>
              </w:rPr>
              <w:t>Relapses</w:t>
            </w:r>
            <w:r w:rsidRPr="00F7606D">
              <w:rPr>
                <w:szCs w:val="22"/>
                <w:u w:val="single"/>
                <w:lang w:val="en-GB"/>
              </w:rPr>
              <w:t>:</w:t>
            </w:r>
            <w:r w:rsidRPr="00F7606D">
              <w:rPr>
                <w:szCs w:val="22"/>
                <w:lang w:val="en-GB"/>
              </w:rPr>
              <w:t xml:space="preserve"> New or worsening symptoms with an objective change in neurologic examination attributable to MS that lasted 48 hours, that were present at normal body temperature, and that were preceded by at least 30 days of clinical stability.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i/>
                <w:iCs/>
                <w:szCs w:val="22"/>
                <w:u w:val="single"/>
                <w:lang w:val="en-GB"/>
              </w:rPr>
              <w:t>Sustained accumulation of disability</w:t>
            </w:r>
            <w:r w:rsidRPr="00F7606D">
              <w:rPr>
                <w:szCs w:val="22"/>
                <w:u w:val="single"/>
                <w:lang w:val="en-GB"/>
              </w:rPr>
              <w:t>:</w:t>
            </w:r>
            <w:r w:rsidRPr="00F7606D">
              <w:rPr>
                <w:szCs w:val="22"/>
                <w:lang w:val="en-GB"/>
              </w:rPr>
              <w:t xml:space="preserve"> An increase of at least 1.5 points for patients with baseline score of 0, and at least 1.0 point for patients with a baseline score of 1.0 or more; all scores were confirmed twice during a 6-month period. </w:t>
            </w:r>
          </w:p>
        </w:tc>
      </w:tr>
      <w:tr w:rsidR="00EA7D99" w:rsidRPr="00F7606D" w:rsidTr="00EA7D99">
        <w:tc>
          <w:tcPr>
            <w:tcW w:w="2689"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Follow-up</w:t>
            </w:r>
          </w:p>
        </w:tc>
        <w:tc>
          <w:tcPr>
            <w:tcW w:w="680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3 years</w:t>
            </w:r>
          </w:p>
        </w:tc>
      </w:tr>
      <w:tr w:rsidR="00EA7D99" w:rsidRPr="00685670" w:rsidTr="00EA7D99">
        <w:tc>
          <w:tcPr>
            <w:tcW w:w="2689"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Treatment history</w:t>
            </w:r>
          </w:p>
        </w:tc>
        <w:tc>
          <w:tcPr>
            <w:tcW w:w="680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szCs w:val="22"/>
                <w:lang w:val="en-GB"/>
              </w:rPr>
              <w:t>Treatment-naive (based on inclusion criteria)</w:t>
            </w:r>
          </w:p>
        </w:tc>
      </w:tr>
      <w:tr w:rsidR="00EA7D99" w:rsidRPr="00F7606D" w:rsidTr="00EA7D99">
        <w:tc>
          <w:tcPr>
            <w:tcW w:w="2689"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Comments</w:t>
            </w:r>
          </w:p>
        </w:tc>
        <w:tc>
          <w:tcPr>
            <w:tcW w:w="6808"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rFonts w:eastAsia="OTNEJMQuadraat" w:cs="OTNEJMQuadraat"/>
                <w:szCs w:val="22"/>
                <w:lang w:val="en-GB" w:eastAsia="en-US"/>
              </w:rPr>
              <w:t>In September 2005, alemtuzumab therapy was suspended after immune thrombocytopenic purpura developed in three patients, one of whom died. Treatment with interferon beta-1a continued throughout the study.</w:t>
            </w:r>
          </w:p>
        </w:tc>
      </w:tr>
      <w:tr w:rsidR="00EA7D99" w:rsidRPr="00F7606D" w:rsidTr="0075275D">
        <w:tc>
          <w:tcPr>
            <w:tcW w:w="94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Randomization</w:t>
            </w:r>
          </w:p>
        </w:tc>
        <w:tc>
          <w:tcPr>
            <w:tcW w:w="5249"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Allocation concealment</w:t>
            </w:r>
          </w:p>
        </w:tc>
        <w:tc>
          <w:tcPr>
            <w:tcW w:w="5249"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Insufficient reporting</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Double-blinding</w:t>
            </w:r>
          </w:p>
        </w:tc>
        <w:tc>
          <w:tcPr>
            <w:tcW w:w="5249"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 (rater-blinded)</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Baseline characteristic similarity</w:t>
            </w:r>
          </w:p>
        </w:tc>
        <w:tc>
          <w:tcPr>
            <w:tcW w:w="5249"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 measures</w:t>
            </w:r>
          </w:p>
        </w:tc>
        <w:tc>
          <w:tcPr>
            <w:tcW w:w="5249"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Withdrawals</w:t>
            </w:r>
          </w:p>
        </w:tc>
        <w:tc>
          <w:tcPr>
            <w:tcW w:w="5249"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25%</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ITT Analysis</w:t>
            </w:r>
          </w:p>
        </w:tc>
        <w:tc>
          <w:tcPr>
            <w:tcW w:w="5249"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Funding</w:t>
            </w:r>
          </w:p>
        </w:tc>
        <w:tc>
          <w:tcPr>
            <w:tcW w:w="5249"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Manufacturer</w:t>
            </w:r>
          </w:p>
        </w:tc>
      </w:tr>
    </w:tbl>
    <w:p w:rsidR="00EA7D99" w:rsidRPr="00F7606D" w:rsidRDefault="00EA7D99" w:rsidP="00EA7D99">
      <w:pPr>
        <w:spacing w:line="240" w:lineRule="auto"/>
        <w:rPr>
          <w:b/>
          <w:i/>
        </w:rPr>
      </w:pPr>
    </w:p>
    <w:p w:rsidR="00EA7D99" w:rsidRPr="00F7606D" w:rsidRDefault="00EA7D99" w:rsidP="00746324">
      <w:pPr>
        <w:pStyle w:val="41"/>
        <w:numPr>
          <w:ilvl w:val="0"/>
          <w:numId w:val="0"/>
        </w:numPr>
        <w:spacing w:line="240" w:lineRule="auto"/>
        <w:contextualSpacing/>
        <w:rPr>
          <w:szCs w:val="22"/>
          <w:lang w:val="en-GB"/>
        </w:rPr>
      </w:pPr>
      <w:r w:rsidRPr="00F7606D">
        <w:rPr>
          <w:szCs w:val="22"/>
          <w:lang w:val="en-GB"/>
        </w:rPr>
        <w:t>CARE (</w:t>
      </w:r>
      <w:r w:rsidRPr="00F7606D">
        <w:rPr>
          <w:rFonts w:eastAsia="ScalaLancetPro" w:cs="ScalaLancetPro"/>
          <w:szCs w:val="22"/>
          <w:lang w:val="en-GB" w:eastAsia="en-US"/>
        </w:rPr>
        <w:t>Comparison of Alemtuzumab and Rebif Effi cacy in Multiple Sclerosis</w:t>
      </w:r>
      <w:r w:rsidRPr="00F7606D">
        <w:rPr>
          <w:szCs w:val="22"/>
          <w:lang w:val="en-GB"/>
        </w:rPr>
        <w:t xml:space="preserve">) MS I- study 2012, Cohen et al. </w:t>
      </w:r>
      <w:r w:rsidR="00204467" w:rsidRPr="00F7606D">
        <w:rPr>
          <w:szCs w:val="22"/>
          <w:lang w:val="en-GB"/>
        </w:rPr>
        <w:fldChar w:fldCharType="begin">
          <w:fldData xml:space="preserve">PEVuZE5vdGU+PENpdGU+PEF1dGhvcj5Db2hlbjwvQXV0aG9yPjxZZWFyPjIwMTI8L1llYXI+PFJl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</w:fldData>
        </w:fldChar>
      </w:r>
      <w:r w:rsidRPr="00F7606D">
        <w:rPr>
          <w:szCs w:val="22"/>
          <w:lang w:val="en-GB"/>
        </w:rPr>
        <w:instrText xml:space="preserve"> ADDIN EN.CITE </w:instrText>
      </w:r>
      <w:r w:rsidR="00204467" w:rsidRPr="00F7606D">
        <w:rPr>
          <w:szCs w:val="22"/>
          <w:lang w:val="en-GB"/>
        </w:rPr>
        <w:fldChar w:fldCharType="begin">
          <w:fldData xml:space="preserve">PEVuZE5vdGU+PENpdGU+PEF1dGhvcj5Db2hlbjwvQXV0aG9yPjxZZWFyPjIwMTI8L1llYXI+PFJl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</w:fldData>
        </w:fldChar>
      </w:r>
      <w:r w:rsidRPr="00F7606D">
        <w:rPr>
          <w:szCs w:val="22"/>
          <w:lang w:val="en-GB"/>
        </w:rPr>
        <w:instrText xml:space="preserve"> ADDIN EN.CITE.DATA </w:instrText>
      </w:r>
      <w:r w:rsidR="00204467" w:rsidRPr="00F7606D">
        <w:rPr>
          <w:szCs w:val="22"/>
          <w:lang w:val="en-GB"/>
        </w:rPr>
      </w:r>
      <w:r w:rsidR="00204467" w:rsidRPr="00F7606D">
        <w:rPr>
          <w:szCs w:val="22"/>
          <w:lang w:val="en-GB"/>
        </w:rPr>
        <w:fldChar w:fldCharType="end"/>
      </w:r>
      <w:r w:rsidR="00204467" w:rsidRPr="00F7606D">
        <w:rPr>
          <w:szCs w:val="22"/>
          <w:lang w:val="en-GB"/>
        </w:rPr>
      </w:r>
      <w:r w:rsidR="00204467" w:rsidRPr="00F7606D">
        <w:rPr>
          <w:szCs w:val="22"/>
          <w:lang w:val="en-GB"/>
        </w:rPr>
        <w:fldChar w:fldCharType="separate"/>
      </w:r>
      <w:r w:rsidRPr="00F7606D">
        <w:rPr>
          <w:noProof/>
          <w:szCs w:val="22"/>
          <w:lang w:val="en-GB"/>
        </w:rPr>
        <w:t>(</w:t>
      </w:r>
      <w:r w:rsidR="001E0F19">
        <w:rPr>
          <w:noProof/>
          <w:szCs w:val="22"/>
          <w:lang w:val="en-GB"/>
        </w:rPr>
        <w:t>2012</w:t>
      </w:r>
      <w:r w:rsidRPr="00F7606D">
        <w:rPr>
          <w:noProof/>
          <w:szCs w:val="22"/>
          <w:lang w:val="en-GB"/>
        </w:rPr>
        <w:t>)</w:t>
      </w:r>
      <w:r w:rsidR="00204467" w:rsidRPr="00F7606D">
        <w:rPr>
          <w:szCs w:val="22"/>
          <w:lang w:val="en-GB"/>
        </w:rPr>
        <w:fldChar w:fldCharType="end"/>
      </w:r>
      <w:r w:rsidRPr="00F7606D">
        <w:rPr>
          <w:szCs w:val="22"/>
          <w:lang w:val="en-GB"/>
        </w:rPr>
        <w:t xml:space="preserve">, in </w:t>
      </w:r>
      <w:r w:rsidR="00663354">
        <w:rPr>
          <w:szCs w:val="22"/>
          <w:lang w:val="en-GB"/>
        </w:rPr>
        <w:t>Tran</w:t>
      </w:r>
      <w:r w:rsidRPr="00F7606D">
        <w:rPr>
          <w:szCs w:val="22"/>
          <w:lang w:val="en-GB"/>
        </w:rPr>
        <w:t xml:space="preserve"> et al. </w:t>
      </w:r>
      <w:r w:rsidR="00204467" w:rsidRPr="00F7606D">
        <w:rPr>
          <w:szCs w:val="22"/>
          <w:lang w:val="en-GB"/>
        </w:rPr>
        <w:fldChar w:fldCharType="begin"/>
      </w:r>
      <w:r w:rsidRPr="00F7606D">
        <w:rPr>
          <w:szCs w:val="22"/>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szCs w:val="22"/>
          <w:lang w:val="en-GB"/>
        </w:rPr>
        <w:fldChar w:fldCharType="separate"/>
      </w:r>
      <w:r w:rsidRPr="00F7606D">
        <w:rPr>
          <w:noProof/>
          <w:szCs w:val="22"/>
          <w:lang w:val="en-GB"/>
        </w:rPr>
        <w:t>(</w:t>
      </w:r>
      <w:r w:rsidR="001E0F19">
        <w:rPr>
          <w:noProof/>
          <w:szCs w:val="22"/>
          <w:lang w:val="en-GB"/>
        </w:rPr>
        <w:t>2013</w:t>
      </w:r>
      <w:r w:rsidRPr="00F7606D">
        <w:rPr>
          <w:noProof/>
          <w:szCs w:val="22"/>
          <w:lang w:val="en-GB"/>
        </w:rPr>
        <w:t>)</w:t>
      </w:r>
      <w:r w:rsidR="00204467" w:rsidRPr="00F7606D">
        <w:rPr>
          <w:szCs w:val="22"/>
          <w:lang w:val="en-GB"/>
        </w:rPr>
        <w:fldChar w:fldCharType="end"/>
      </w:r>
    </w:p>
    <w:tbl>
      <w:tblPr>
        <w:tblStyle w:val="afff"/>
        <w:tblW w:w="9493" w:type="dxa"/>
        <w:tblLook w:val="04A0"/>
      </w:tblPr>
      <w:tblGrid>
        <w:gridCol w:w="2687"/>
        <w:gridCol w:w="1559"/>
        <w:gridCol w:w="5247"/>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RCT identification</w:t>
            </w:r>
          </w:p>
        </w:tc>
        <w:tc>
          <w:tcPr>
            <w:tcW w:w="680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ScalaLancetPro-Bold" w:cs="ScalaLancetPro-Bold"/>
                <w:bCs/>
                <w:szCs w:val="22"/>
                <w:lang w:val="en-GB" w:eastAsia="en-US"/>
              </w:rPr>
              <w:t>NCT00530348</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Study setting</w:t>
            </w:r>
          </w:p>
        </w:tc>
        <w:tc>
          <w:tcPr>
            <w:tcW w:w="680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 xml:space="preserve">A rater-blinded, randomized controlled trial in 101 centres in 16 countries including Europe, Canada, and US.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 xml:space="preserve">Participants </w:t>
            </w:r>
          </w:p>
        </w:tc>
        <w:tc>
          <w:tcPr>
            <w:tcW w:w="680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Eligibility criteria</w:t>
            </w:r>
            <w:r w:rsidRPr="00F7606D">
              <w:rPr>
                <w:rFonts w:ascii="Georgia" w:hAnsi="Georgia"/>
                <w:sz w:val="22"/>
                <w:szCs w:val="22"/>
                <w:u w:val="single"/>
                <w:lang w:val="en-GB"/>
              </w:rPr>
              <w:t>:</w:t>
            </w:r>
            <w:r w:rsidRPr="00F7606D">
              <w:rPr>
                <w:rFonts w:ascii="Georgia" w:hAnsi="Georgia"/>
                <w:sz w:val="22"/>
                <w:szCs w:val="22"/>
                <w:lang w:val="en-GB"/>
              </w:rPr>
              <w:t xml:space="preserve"> Age = 18 years to 50 years, diagnosis of RRMS (McDonald criteria) with disease duration up to 5 years, EDSS = 0 to 3.0; had cranial abnormalities on MRI attributable to MS; with ≥ 2 relapses during the previous 2 years.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Key exclusion criteria</w:t>
            </w:r>
            <w:r w:rsidRPr="00F7606D">
              <w:rPr>
                <w:szCs w:val="22"/>
                <w:u w:val="single"/>
                <w:lang w:val="en-GB"/>
              </w:rPr>
              <w:t>:</w:t>
            </w:r>
            <w:r w:rsidRPr="00F7606D">
              <w:rPr>
                <w:szCs w:val="22"/>
                <w:lang w:val="en-GB"/>
              </w:rPr>
              <w:t xml:space="preserve"> Progressive disease course, previous MS disease therapy (apart from corticosteroids), previous immunosuppressive; investigational or monoclonal antibody therapy, clinically significant autoimmunity other than MS.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P641C"/>
                <w:i/>
                <w:szCs w:val="22"/>
                <w:u w:val="single"/>
                <w:lang w:val="en-GB" w:eastAsia="en-US"/>
              </w:rPr>
              <w:t>Baseline characteristics:</w:t>
            </w:r>
            <w:r w:rsidRPr="00F7606D">
              <w:rPr>
                <w:rFonts w:eastAsiaTheme="minorHAnsi" w:cs="AdvP641C"/>
                <w:szCs w:val="22"/>
                <w:lang w:val="en-GB" w:eastAsia="en-US"/>
              </w:rPr>
              <w:t xml:space="preserve"> Age 33+/-8; 65% female; EDSS 2.0+/-0.8</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Intervention group</w:t>
            </w:r>
          </w:p>
        </w:tc>
        <w:tc>
          <w:tcPr>
            <w:tcW w:w="680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bCs/>
                <w:sz w:val="22"/>
                <w:szCs w:val="22"/>
                <w:lang w:val="en-GB"/>
              </w:rPr>
              <w:t xml:space="preserve">Alemtuzumab 12 mg IV q.d., 5 consecutive days at month 0, 3 consecutive days at month 12 </w:t>
            </w:r>
            <w:r w:rsidRPr="00F7606D">
              <w:rPr>
                <w:rFonts w:ascii="Georgia" w:hAnsi="Georgia"/>
                <w:sz w:val="22"/>
                <w:szCs w:val="22"/>
                <w:lang w:val="en-GB"/>
              </w:rPr>
              <w:t xml:space="preserve">(n = 386)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Comparison group</w:t>
            </w:r>
          </w:p>
        </w:tc>
        <w:tc>
          <w:tcPr>
            <w:tcW w:w="6806"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 xml:space="preserve">Interferon beta-1a 44 mcg SC t.i.w. </w:t>
            </w:r>
            <w:r w:rsidRPr="00B4105F">
              <w:rPr>
                <w:rFonts w:ascii="Georgia" w:hAnsi="Georgia"/>
                <w:sz w:val="22"/>
                <w:szCs w:val="22"/>
                <w:lang w:val="pt-PT"/>
              </w:rPr>
              <w:t xml:space="preserve">(n = 195)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w:t>
            </w:r>
          </w:p>
        </w:tc>
        <w:tc>
          <w:tcPr>
            <w:tcW w:w="680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endpoints</w:t>
            </w:r>
            <w:r w:rsidRPr="00F7606D">
              <w:rPr>
                <w:rFonts w:ascii="Georgia" w:hAnsi="Georgia"/>
                <w:sz w:val="22"/>
                <w:szCs w:val="22"/>
                <w:u w:val="single"/>
                <w:lang w:val="en-GB"/>
              </w:rPr>
              <w:t>:</w:t>
            </w:r>
            <w:r w:rsidRPr="00F7606D">
              <w:rPr>
                <w:rFonts w:ascii="Georgia" w:hAnsi="Georgia"/>
                <w:sz w:val="22"/>
                <w:szCs w:val="22"/>
                <w:lang w:val="en-GB"/>
              </w:rPr>
              <w:t xml:space="preserve"> Relapse rate and time to 6 months sustained accumulation of disability.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Secondary endpoints</w:t>
            </w:r>
            <w:r w:rsidRPr="00F7606D">
              <w:rPr>
                <w:szCs w:val="22"/>
                <w:u w:val="single"/>
                <w:lang w:val="en-GB"/>
              </w:rPr>
              <w:t>:</w:t>
            </w:r>
            <w:r w:rsidRPr="00F7606D">
              <w:rPr>
                <w:szCs w:val="22"/>
                <w:lang w:val="en-GB"/>
              </w:rPr>
              <w:t xml:space="preserve"> Proportion of patients with relapse-free, change in EDSS, change in MSFC, different MRI outcomes.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szCs w:val="22"/>
                <w:u w:val="single"/>
                <w:lang w:val="en-GB"/>
              </w:rPr>
              <w:t>Definitions used for endpoints:</w:t>
            </w:r>
            <w:r w:rsidRPr="00F7606D">
              <w:rPr>
                <w:szCs w:val="22"/>
                <w:lang w:val="en-GB"/>
              </w:rPr>
              <w:t xml:space="preserve"> </w:t>
            </w:r>
            <w:r w:rsidRPr="00F7606D">
              <w:rPr>
                <w:i/>
                <w:iCs/>
                <w:szCs w:val="22"/>
                <w:u w:val="single"/>
                <w:lang w:val="en-GB"/>
              </w:rPr>
              <w:t>Relapses</w:t>
            </w:r>
            <w:r w:rsidRPr="00F7606D">
              <w:rPr>
                <w:szCs w:val="22"/>
                <w:u w:val="single"/>
                <w:lang w:val="en-GB"/>
              </w:rPr>
              <w:t>:</w:t>
            </w:r>
            <w:r w:rsidRPr="00F7606D">
              <w:rPr>
                <w:szCs w:val="22"/>
                <w:lang w:val="en-GB"/>
              </w:rPr>
              <w:t xml:space="preserve"> New or worsening neurologic symptoms attributable to MS, lasting at least 48 hours, with pyrexia, after at least 30 days of clinical stability, with an objective change on neurological examination assessed by a masked rater.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i/>
                <w:iCs/>
                <w:szCs w:val="22"/>
                <w:u w:val="single"/>
                <w:lang w:val="en-GB"/>
              </w:rPr>
              <w:t>Sustained accumulation of disability</w:t>
            </w:r>
            <w:r w:rsidRPr="00F7606D">
              <w:rPr>
                <w:szCs w:val="22"/>
                <w:u w:val="single"/>
                <w:lang w:val="en-GB"/>
              </w:rPr>
              <w:t>:</w:t>
            </w:r>
            <w:r w:rsidRPr="00F7606D">
              <w:rPr>
                <w:szCs w:val="22"/>
                <w:lang w:val="en-GB"/>
              </w:rPr>
              <w:t xml:space="preserve"> An increase from baseline of at least one EDSS point (or ≥ 1.5 points if baseline EDSS score was 0) confirmed over 6 months.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Follow-up</w:t>
            </w:r>
          </w:p>
        </w:tc>
        <w:tc>
          <w:tcPr>
            <w:tcW w:w="680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2 years</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Treatment history</w:t>
            </w:r>
          </w:p>
        </w:tc>
        <w:tc>
          <w:tcPr>
            <w:tcW w:w="6806"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 xml:space="preserve">Treatment-naive (based on inclusion criteria). </w:t>
            </w:r>
          </w:p>
        </w:tc>
      </w:tr>
      <w:tr w:rsidR="00EA7D99" w:rsidRPr="00F7606D" w:rsidTr="0075275D">
        <w:tc>
          <w:tcPr>
            <w:tcW w:w="94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Randomization</w:t>
            </w:r>
          </w:p>
        </w:tc>
        <w:tc>
          <w:tcPr>
            <w:tcW w:w="52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Allocation concealment</w:t>
            </w:r>
          </w:p>
        </w:tc>
        <w:tc>
          <w:tcPr>
            <w:tcW w:w="52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Double-blinding</w:t>
            </w:r>
          </w:p>
        </w:tc>
        <w:tc>
          <w:tcPr>
            <w:tcW w:w="52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 (rater-blinded)</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Baseline characteristic similarity</w:t>
            </w:r>
          </w:p>
        </w:tc>
        <w:tc>
          <w:tcPr>
            <w:tcW w:w="52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 measures</w:t>
            </w:r>
          </w:p>
        </w:tc>
        <w:tc>
          <w:tcPr>
            <w:tcW w:w="52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Withdrawals</w:t>
            </w:r>
          </w:p>
        </w:tc>
        <w:tc>
          <w:tcPr>
            <w:tcW w:w="52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9%</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ITT Analysis</w:t>
            </w:r>
          </w:p>
        </w:tc>
        <w:tc>
          <w:tcPr>
            <w:tcW w:w="52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Funding</w:t>
            </w:r>
          </w:p>
        </w:tc>
        <w:tc>
          <w:tcPr>
            <w:tcW w:w="52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 xml:space="preserve">Manufacturer </w:t>
            </w:r>
          </w:p>
        </w:tc>
      </w:tr>
    </w:tbl>
    <w:p w:rsidR="00EA7D99" w:rsidRPr="00F7606D" w:rsidRDefault="00EA7D99" w:rsidP="00EA7D99">
      <w:pPr>
        <w:spacing w:after="160" w:line="240" w:lineRule="auto"/>
        <w:contextualSpacing/>
        <w:rPr>
          <w:b/>
          <w:i/>
        </w:rPr>
      </w:pPr>
    </w:p>
    <w:p w:rsidR="00EA7D99" w:rsidRPr="00F7606D" w:rsidRDefault="00EA7D99" w:rsidP="00746324">
      <w:pPr>
        <w:pStyle w:val="41"/>
        <w:numPr>
          <w:ilvl w:val="0"/>
          <w:numId w:val="0"/>
        </w:numPr>
        <w:spacing w:line="240" w:lineRule="auto"/>
        <w:contextualSpacing/>
        <w:rPr>
          <w:rFonts w:eastAsia="ScalaLancetPro" w:cs="ScalaLancetPro"/>
          <w:lang w:val="en-GB" w:eastAsia="en-US"/>
        </w:rPr>
      </w:pPr>
      <w:r w:rsidRPr="00F7606D">
        <w:rPr>
          <w:lang w:val="en-GB"/>
        </w:rPr>
        <w:t>CARE (</w:t>
      </w:r>
      <w:r w:rsidRPr="00F7606D">
        <w:rPr>
          <w:rFonts w:eastAsia="ScalaLancetPro" w:cs="ScalaLancetPro"/>
          <w:lang w:val="en-GB" w:eastAsia="en-US"/>
        </w:rPr>
        <w:t>Comparison of Alemtuzu mab and Rebif Effi cacy in Multiple Sclerosis</w:t>
      </w:r>
      <w:r w:rsidRPr="00F7606D">
        <w:rPr>
          <w:lang w:val="en-GB"/>
        </w:rPr>
        <w:t xml:space="preserve">)-MS II study 2012, Coles et al. </w:t>
      </w:r>
      <w:r w:rsidR="00204467" w:rsidRPr="00F7606D">
        <w:rPr>
          <w:lang w:val="en-GB"/>
        </w:rPr>
        <w:fldChar w:fldCharType="begin">
          <w:fldData xml:space="preserve">PEVuZE5vdGU+PENpdGU+PEF1dGhvcj5Db2xlczwvQXV0aG9yPjxZZWFyPjIwMTI8L1llYXI+PFJl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</w:fldData>
        </w:fldChar>
      </w:r>
      <w:r w:rsidRPr="00F7606D">
        <w:rPr>
          <w:lang w:val="en-GB"/>
        </w:rPr>
        <w:instrText xml:space="preserve"> ADDIN EN.CITE </w:instrText>
      </w:r>
      <w:r w:rsidR="00204467" w:rsidRPr="00F7606D">
        <w:rPr>
          <w:lang w:val="en-GB"/>
        </w:rPr>
        <w:fldChar w:fldCharType="begin">
          <w:fldData xml:space="preserve">PEVuZE5vdGU+PENpdGU+PEF1dGhvcj5Db2xlczwvQXV0aG9yPjxZZWFyPjIwMTI8L1llYXI+PFJl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</w:fldData>
        </w:fldChar>
      </w:r>
      <w:r w:rsidRPr="00F7606D">
        <w:rPr>
          <w:lang w:val="en-GB"/>
        </w:rPr>
        <w:instrText xml:space="preserve"> ADDIN EN.CITE.DATA </w:instrText>
      </w:r>
      <w:r w:rsidR="00204467" w:rsidRPr="00F7606D">
        <w:rPr>
          <w:lang w:val="en-GB"/>
        </w:rPr>
      </w:r>
      <w:r w:rsidR="00204467" w:rsidRPr="00F7606D">
        <w:rPr>
          <w:lang w:val="en-GB"/>
        </w:rPr>
        <w:fldChar w:fldCharType="end"/>
      </w:r>
      <w:r w:rsidR="00204467" w:rsidRPr="00F7606D">
        <w:rPr>
          <w:lang w:val="en-GB"/>
        </w:rPr>
      </w:r>
      <w:r w:rsidR="00204467" w:rsidRPr="00F7606D">
        <w:rPr>
          <w:lang w:val="en-GB"/>
        </w:rPr>
        <w:fldChar w:fldCharType="separate"/>
      </w:r>
      <w:r w:rsidRPr="00F7606D">
        <w:rPr>
          <w:noProof/>
          <w:lang w:val="en-GB"/>
        </w:rPr>
        <w:t>(</w:t>
      </w:r>
      <w:r w:rsidR="001E0F19">
        <w:rPr>
          <w:noProof/>
          <w:lang w:val="en-GB"/>
        </w:rPr>
        <w:t>2012</w:t>
      </w:r>
      <w:r w:rsidRPr="00F7606D">
        <w:rPr>
          <w:noProof/>
          <w:lang w:val="en-GB"/>
        </w:rPr>
        <w:t>)</w:t>
      </w:r>
      <w:r w:rsidR="00204467" w:rsidRPr="00F7606D">
        <w:rPr>
          <w:lang w:val="en-GB"/>
        </w:rPr>
        <w:fldChar w:fldCharType="end"/>
      </w:r>
      <w:r w:rsidRPr="00F7606D">
        <w:rPr>
          <w:lang w:val="en-GB"/>
        </w:rPr>
        <w:t xml:space="preserve">, in </w:t>
      </w:r>
      <w:r w:rsidR="00663354">
        <w:rPr>
          <w:lang w:val="en-GB"/>
        </w:rPr>
        <w:t>Tran</w:t>
      </w:r>
      <w:r w:rsidRPr="00F7606D">
        <w:rPr>
          <w:lang w:val="en-GB"/>
        </w:rPr>
        <w:t xml:space="preserve"> et al. </w:t>
      </w:r>
      <w:r w:rsidR="00204467" w:rsidRPr="00F7606D">
        <w:rPr>
          <w:lang w:val="en-GB"/>
        </w:rPr>
        <w:fldChar w:fldCharType="begin"/>
      </w:r>
      <w:r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Pr="00F7606D">
        <w:rPr>
          <w:noProof/>
          <w:lang w:val="en-GB"/>
        </w:rPr>
        <w:t>(</w:t>
      </w:r>
      <w:r w:rsidR="001E0F19">
        <w:rPr>
          <w:noProof/>
          <w:lang w:val="en-GB"/>
        </w:rPr>
        <w:t>2013</w:t>
      </w:r>
      <w:r w:rsidRPr="00F7606D">
        <w:rPr>
          <w:noProof/>
          <w:lang w:val="en-GB"/>
        </w:rPr>
        <w:t>)</w:t>
      </w:r>
      <w:r w:rsidR="00204467" w:rsidRPr="00F7606D">
        <w:rPr>
          <w:lang w:val="en-GB"/>
        </w:rPr>
        <w:fldChar w:fldCharType="end"/>
      </w:r>
    </w:p>
    <w:tbl>
      <w:tblPr>
        <w:tblStyle w:val="afff"/>
        <w:tblW w:w="9351" w:type="dxa"/>
        <w:tblLook w:val="04A0"/>
      </w:tblPr>
      <w:tblGrid>
        <w:gridCol w:w="2687"/>
        <w:gridCol w:w="1561"/>
        <w:gridCol w:w="5103"/>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ScalaLancetPro-Bold" w:cs="ScalaLancetPro-Bold"/>
                <w:bCs/>
                <w:szCs w:val="22"/>
                <w:lang w:val="en-GB" w:eastAsia="en-US"/>
              </w:rPr>
              <w:t>NCT00548405</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rFonts w:eastAsiaTheme="minorHAnsi" w:cs="AdvAGaramond-R"/>
                <w:color w:val="231F20"/>
                <w:szCs w:val="22"/>
                <w:lang w:val="en-GB" w:eastAsia="en-US"/>
              </w:rPr>
              <w:t xml:space="preserve">Rater-blinded, randomized controlled trial. </w:t>
            </w:r>
            <w:r w:rsidRPr="00F7606D">
              <w:rPr>
                <w:rFonts w:eastAsia="ScalaLancetPro" w:cs="ScalaLancetPro"/>
                <w:szCs w:val="22"/>
                <w:lang w:val="en-GB" w:eastAsia="en-US"/>
              </w:rPr>
              <w:t xml:space="preserve">194 academic medical centres and clinical practices in 23 countries </w:t>
            </w:r>
            <w:r w:rsidRPr="00F7606D">
              <w:rPr>
                <w:rFonts w:eastAsiaTheme="minorHAnsi"/>
                <w:szCs w:val="22"/>
                <w:lang w:val="en-GB" w:eastAsia="en-US"/>
              </w:rPr>
              <w:t xml:space="preserve">including Europe, Canada, and US.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rPr>
                <w:rFonts w:ascii="Georgia" w:hAnsi="Georgia"/>
                <w:sz w:val="22"/>
                <w:szCs w:val="22"/>
                <w:lang w:val="en-GB"/>
              </w:rPr>
            </w:pPr>
            <w:r w:rsidRPr="00F7606D">
              <w:rPr>
                <w:rFonts w:ascii="Georgia" w:hAnsi="Georgia"/>
                <w:i/>
                <w:iCs/>
                <w:sz w:val="22"/>
                <w:szCs w:val="22"/>
                <w:u w:val="single"/>
                <w:lang w:val="en-GB"/>
              </w:rPr>
              <w:t>Eligibility criteria</w:t>
            </w:r>
            <w:r w:rsidRPr="00F7606D">
              <w:rPr>
                <w:rFonts w:ascii="Georgia" w:hAnsi="Georgia"/>
                <w:sz w:val="22"/>
                <w:szCs w:val="22"/>
                <w:u w:val="single"/>
                <w:lang w:val="en-GB"/>
              </w:rPr>
              <w:t>:</w:t>
            </w:r>
            <w:r w:rsidRPr="00F7606D">
              <w:rPr>
                <w:rFonts w:ascii="Georgia" w:hAnsi="Georgia"/>
                <w:sz w:val="22"/>
                <w:szCs w:val="22"/>
                <w:lang w:val="en-GB"/>
              </w:rPr>
              <w:t xml:space="preserve"> Age = 18 years to 50 years, diagnosis of RRMS (McDonald criteria) with disease duration up to 5 years, EDSS = 0 to 5.0; had cranial and spinal MRI lesions; with ≥ 2 relapses during the previous 2 years and at least one in the previous year. </w:t>
            </w:r>
          </w:p>
          <w:p w:rsidR="00EA7D99" w:rsidRPr="00F7606D" w:rsidRDefault="00EA7D99" w:rsidP="00EA7D99">
            <w:pPr>
              <w:tabs>
                <w:tab w:val="clear" w:pos="510"/>
              </w:tabs>
              <w:autoSpaceDE w:val="0"/>
              <w:autoSpaceDN w:val="0"/>
              <w:adjustRightInd w:val="0"/>
              <w:spacing w:line="240" w:lineRule="auto"/>
              <w:contextualSpacing/>
              <w:rPr>
                <w:szCs w:val="22"/>
                <w:lang w:val="en-GB"/>
              </w:rPr>
            </w:pPr>
            <w:r w:rsidRPr="00F7606D">
              <w:rPr>
                <w:i/>
                <w:iCs/>
                <w:szCs w:val="22"/>
                <w:u w:val="single"/>
                <w:lang w:val="en-GB"/>
              </w:rPr>
              <w:t>Key exclusion criteria</w:t>
            </w:r>
            <w:r w:rsidRPr="00F7606D">
              <w:rPr>
                <w:szCs w:val="22"/>
                <w:u w:val="single"/>
                <w:lang w:val="en-GB"/>
              </w:rPr>
              <w:t>:</w:t>
            </w:r>
            <w:r w:rsidRPr="00F7606D">
              <w:rPr>
                <w:szCs w:val="22"/>
                <w:lang w:val="en-GB"/>
              </w:rPr>
              <w:t xml:space="preserve"> Progressive forms of MS, previous cytotoxic drug use or investigational therapy, treatment within the previous 6 months with natalizumab, methotrexate, azathioprine or cyclosporine, and a history of clinically significant autoimmunity other than MS. </w:t>
            </w:r>
          </w:p>
          <w:p w:rsidR="00EA7D99" w:rsidRPr="00F7606D" w:rsidRDefault="00EA7D99" w:rsidP="00EA7D99">
            <w:pPr>
              <w:tabs>
                <w:tab w:val="clear" w:pos="510"/>
              </w:tabs>
              <w:autoSpaceDE w:val="0"/>
              <w:autoSpaceDN w:val="0"/>
              <w:adjustRightInd w:val="0"/>
              <w:spacing w:line="240" w:lineRule="auto"/>
              <w:contextualSpacing/>
              <w:rPr>
                <w:rFonts w:eastAsiaTheme="minorHAnsi" w:cs="AdvP641C"/>
                <w:szCs w:val="22"/>
                <w:lang w:val="en-GB" w:eastAsia="en-US"/>
              </w:rPr>
            </w:pPr>
            <w:r w:rsidRPr="00F7606D">
              <w:rPr>
                <w:rFonts w:eastAsiaTheme="minorHAnsi" w:cs="AdvP641C"/>
                <w:i/>
                <w:szCs w:val="22"/>
                <w:u w:val="single"/>
                <w:lang w:val="en-GB" w:eastAsia="en-US"/>
              </w:rPr>
              <w:t>Baseline characteristics:</w:t>
            </w:r>
            <w:r w:rsidRPr="00F7606D">
              <w:rPr>
                <w:rFonts w:eastAsiaTheme="minorHAnsi" w:cs="AdvP641C"/>
                <w:szCs w:val="22"/>
                <w:lang w:val="en-GB" w:eastAsia="en-US"/>
              </w:rPr>
              <w:t xml:space="preserve"> </w:t>
            </w:r>
            <w:r w:rsidRPr="00F7606D">
              <w:rPr>
                <w:rFonts w:eastAsiaTheme="minorHAnsi" w:cs="AdvAGaramond-R"/>
                <w:color w:val="231F20"/>
                <w:szCs w:val="22"/>
                <w:lang w:val="en-GB" w:eastAsia="en-US"/>
              </w:rPr>
              <w:t xml:space="preserve">Age: 35 +/-8, 67 female, </w:t>
            </w:r>
            <w:r w:rsidRPr="00F7606D">
              <w:rPr>
                <w:rFonts w:eastAsiaTheme="minorHAnsi" w:cs="AdvP641C"/>
                <w:szCs w:val="22"/>
                <w:lang w:val="en-GB" w:eastAsia="en-US"/>
              </w:rPr>
              <w:t>EDSS: 2.7 +/-1.2</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rFonts w:eastAsia="ScalaLancetPro" w:cs="ScalaLancetPro"/>
                <w:szCs w:val="22"/>
                <w:lang w:val="en-GB" w:eastAsia="en-US"/>
              </w:rPr>
            </w:pPr>
            <w:r w:rsidRPr="00F7606D">
              <w:rPr>
                <w:rFonts w:eastAsia="ScalaLancetPro" w:cs="ScalaLancetPro"/>
                <w:szCs w:val="22"/>
                <w:lang w:val="en-GB" w:eastAsia="en-US"/>
              </w:rPr>
              <w:t xml:space="preserve">Alemtuzumab 12 mg </w:t>
            </w:r>
            <w:r w:rsidRPr="00F7606D">
              <w:rPr>
                <w:bCs/>
                <w:szCs w:val="22"/>
                <w:lang w:val="en-GB"/>
              </w:rPr>
              <w:t xml:space="preserve">IV q.d., 5 consecutive days at month 0, 3 consecutive days at month 12 </w:t>
            </w:r>
            <w:r w:rsidRPr="00F7606D">
              <w:rPr>
                <w:rFonts w:eastAsia="ScalaLancetPro" w:cs="ScalaLancetPro"/>
                <w:szCs w:val="22"/>
                <w:lang w:val="en-GB" w:eastAsia="en-US"/>
              </w:rPr>
              <w:t>(n=436)</w:t>
            </w:r>
          </w:p>
          <w:p w:rsidR="00EA7D99" w:rsidRPr="00F7606D" w:rsidRDefault="00EA7D99" w:rsidP="00EA7D99">
            <w:pPr>
              <w:tabs>
                <w:tab w:val="clear" w:pos="510"/>
              </w:tabs>
              <w:autoSpaceDE w:val="0"/>
              <w:autoSpaceDN w:val="0"/>
              <w:adjustRightInd w:val="0"/>
              <w:spacing w:line="240" w:lineRule="auto"/>
              <w:contextualSpacing/>
              <w:rPr>
                <w:rFonts w:eastAsia="ScalaLancetPro" w:cs="ScalaLancetPro"/>
                <w:szCs w:val="22"/>
                <w:lang w:val="en-GB" w:eastAsia="en-US"/>
              </w:rPr>
            </w:pPr>
            <w:r w:rsidRPr="00F7606D">
              <w:rPr>
                <w:rFonts w:eastAsia="ScalaLancetPro" w:cs="ScalaLancetPro"/>
                <w:szCs w:val="22"/>
                <w:lang w:val="en-GB" w:eastAsia="en-US"/>
              </w:rPr>
              <w:t xml:space="preserve">Alemtuzumab 24 mg </w:t>
            </w:r>
            <w:r w:rsidRPr="00F7606D">
              <w:rPr>
                <w:bCs/>
                <w:szCs w:val="22"/>
                <w:lang w:val="en-GB"/>
              </w:rPr>
              <w:t xml:space="preserve">IV q.d., 5 consecutive days at month 0, 3 consecutive days at month 12 </w:t>
            </w:r>
            <w:r w:rsidRPr="00F7606D">
              <w:rPr>
                <w:rFonts w:eastAsia="ScalaLancetPro" w:cs="ScalaLancetPro"/>
                <w:szCs w:val="22"/>
                <w:lang w:val="en-GB" w:eastAsia="en-US"/>
              </w:rPr>
              <w:t>(n=173)</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tabs>
                <w:tab w:val="clear" w:pos="510"/>
              </w:tabs>
              <w:autoSpaceDE w:val="0"/>
              <w:autoSpaceDN w:val="0"/>
              <w:adjustRightInd w:val="0"/>
              <w:spacing w:line="240" w:lineRule="auto"/>
              <w:contextualSpacing/>
              <w:jc w:val="both"/>
              <w:rPr>
                <w:rFonts w:eastAsia="ScalaLancetPro" w:cs="ScalaLancetPro"/>
                <w:szCs w:val="22"/>
                <w:lang w:val="pt-PT" w:eastAsia="en-US"/>
              </w:rPr>
            </w:pPr>
            <w:r w:rsidRPr="00B4105F">
              <w:rPr>
                <w:rFonts w:eastAsia="ScalaLancetPro" w:cs="ScalaLancetPro"/>
                <w:szCs w:val="22"/>
                <w:lang w:val="pt-PT" w:eastAsia="en-US"/>
              </w:rPr>
              <w:t xml:space="preserve">Interferon beta 1a </w:t>
            </w:r>
            <w:r w:rsidRPr="00B4105F">
              <w:rPr>
                <w:bCs/>
                <w:szCs w:val="22"/>
                <w:lang w:val="pt-PT"/>
              </w:rPr>
              <w:t xml:space="preserve">44 mcg SC t.i.w. </w:t>
            </w:r>
            <w:r w:rsidRPr="00B4105F">
              <w:rPr>
                <w:rFonts w:eastAsia="ScalaLancetPro" w:cs="ScalaLancetPro"/>
                <w:szCs w:val="22"/>
                <w:lang w:val="pt-PT" w:eastAsia="en-US"/>
              </w:rPr>
              <w:t>(n=231)</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endpoints</w:t>
            </w:r>
            <w:r w:rsidRPr="00F7606D">
              <w:rPr>
                <w:rFonts w:ascii="Georgia" w:hAnsi="Georgia"/>
                <w:sz w:val="22"/>
                <w:szCs w:val="22"/>
                <w:u w:val="single"/>
                <w:lang w:val="en-GB"/>
              </w:rPr>
              <w:t>:</w:t>
            </w:r>
            <w:r w:rsidRPr="00F7606D">
              <w:rPr>
                <w:rFonts w:ascii="Georgia" w:hAnsi="Georgia"/>
                <w:sz w:val="22"/>
                <w:szCs w:val="22"/>
                <w:lang w:val="en-GB"/>
              </w:rPr>
              <w:t xml:space="preserve"> Relapse rate and time to 6 months sustained accumulation of disability.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Secondary endpoints</w:t>
            </w:r>
            <w:r w:rsidRPr="00F7606D">
              <w:rPr>
                <w:szCs w:val="22"/>
                <w:u w:val="single"/>
                <w:lang w:val="en-GB"/>
              </w:rPr>
              <w:t>:</w:t>
            </w:r>
            <w:r w:rsidRPr="00F7606D">
              <w:rPr>
                <w:szCs w:val="22"/>
                <w:lang w:val="en-GB"/>
              </w:rPr>
              <w:t xml:space="preserve"> Proportion of patients with relapse-free, change in EDSS, change in MSFC, different MRI outcomes.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u w:val="single"/>
                <w:lang w:val="en-GB"/>
              </w:rPr>
              <w:t>Definitions used for endpoints:</w:t>
            </w:r>
            <w:r w:rsidRPr="00F7606D">
              <w:rPr>
                <w:rFonts w:ascii="Georgia" w:hAnsi="Georgia"/>
                <w:sz w:val="22"/>
                <w:szCs w:val="22"/>
                <w:lang w:val="en-GB"/>
              </w:rPr>
              <w:t xml:space="preserve"> </w:t>
            </w:r>
            <w:r w:rsidRPr="00F7606D">
              <w:rPr>
                <w:rFonts w:ascii="Georgia" w:hAnsi="Georgia"/>
                <w:i/>
                <w:iCs/>
                <w:sz w:val="22"/>
                <w:szCs w:val="22"/>
                <w:u w:val="single"/>
                <w:lang w:val="en-GB"/>
              </w:rPr>
              <w:t>Relapses</w:t>
            </w:r>
            <w:r w:rsidRPr="00F7606D">
              <w:rPr>
                <w:rFonts w:ascii="Georgia" w:hAnsi="Georgia"/>
                <w:sz w:val="22"/>
                <w:szCs w:val="22"/>
                <w:u w:val="single"/>
                <w:lang w:val="en-GB"/>
              </w:rPr>
              <w:t>:</w:t>
            </w:r>
            <w:r w:rsidRPr="00F7606D">
              <w:rPr>
                <w:rFonts w:ascii="Georgia" w:hAnsi="Georgia"/>
                <w:sz w:val="22"/>
                <w:szCs w:val="22"/>
                <w:lang w:val="en-GB"/>
              </w:rPr>
              <w:t xml:space="preserve"> New or worsening neurologic symptoms attributable to MS, lasting at least 48 hours, without pyrexia, after at least 30 days of clinical stability, with an objective change on neurological examination.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i/>
                <w:iCs/>
                <w:szCs w:val="22"/>
                <w:u w:val="single"/>
                <w:lang w:val="en-GB"/>
              </w:rPr>
              <w:t>Sustained accumulation of disability</w:t>
            </w:r>
            <w:r w:rsidRPr="00F7606D">
              <w:rPr>
                <w:szCs w:val="22"/>
                <w:u w:val="single"/>
                <w:lang w:val="en-GB"/>
              </w:rPr>
              <w:t>:</w:t>
            </w:r>
            <w:r w:rsidRPr="00F7606D">
              <w:rPr>
                <w:szCs w:val="22"/>
                <w:lang w:val="en-GB"/>
              </w:rPr>
              <w:t xml:space="preserve"> An increase from baseline of at least one EDSS point (or ≥ 1.5 points if baseline EDSS score was 0) confirmed over 6 months.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2 years</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Treatment-experienced (based on inclusion criteria).</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Comments</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szCs w:val="22"/>
                <w:lang w:val="en-GB"/>
              </w:rPr>
            </w:pPr>
            <w:r w:rsidRPr="00F7606D">
              <w:rPr>
                <w:rFonts w:eastAsia="ScalaLancetPro-Bold" w:cs="ScalaLancetPro-Bold"/>
                <w:bCs/>
                <w:szCs w:val="22"/>
                <w:lang w:val="en-GB" w:eastAsia="en-US"/>
              </w:rPr>
              <w:t>The 24 mg per day group was discontinued to aid recruitment, but data are included for safety assessments</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b/>
                <w:szCs w:val="22"/>
                <w:lang w:val="en-GB"/>
              </w:rPr>
            </w:pPr>
            <w:r w:rsidRPr="00F7606D">
              <w:rPr>
                <w:b/>
                <w:bCs/>
                <w:szCs w:val="22"/>
                <w:lang w:val="en-GB"/>
              </w:rPr>
              <w:t xml:space="preserve">Critical appraisal </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Randomization</w:t>
            </w:r>
          </w:p>
        </w:tc>
        <w:tc>
          <w:tcPr>
            <w:tcW w:w="5103" w:type="dxa"/>
            <w:tcBorders>
              <w:top w:val="single" w:sz="4" w:space="0" w:color="auto"/>
              <w:left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Allocation concealment</w:t>
            </w:r>
          </w:p>
        </w:tc>
        <w:tc>
          <w:tcPr>
            <w:tcW w:w="5103" w:type="dxa"/>
            <w:tcBorders>
              <w:left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Double-blinding</w:t>
            </w:r>
          </w:p>
        </w:tc>
        <w:tc>
          <w:tcPr>
            <w:tcW w:w="5103" w:type="dxa"/>
            <w:tcBorders>
              <w:left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szCs w:val="22"/>
                <w:lang w:val="en-GB"/>
              </w:rPr>
            </w:pPr>
            <w:r w:rsidRPr="00F7606D">
              <w:rPr>
                <w:szCs w:val="22"/>
                <w:lang w:val="en-GB"/>
              </w:rPr>
              <w:t>No (rater blinded)</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Baseline characteristic similarity</w:t>
            </w:r>
          </w:p>
        </w:tc>
        <w:tc>
          <w:tcPr>
            <w:tcW w:w="5103" w:type="dxa"/>
            <w:tcBorders>
              <w:left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Outcome measures</w:t>
            </w:r>
          </w:p>
        </w:tc>
        <w:tc>
          <w:tcPr>
            <w:tcW w:w="5103" w:type="dxa"/>
            <w:tcBorders>
              <w:left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Withdrawals</w:t>
            </w:r>
          </w:p>
        </w:tc>
        <w:tc>
          <w:tcPr>
            <w:tcW w:w="5103" w:type="dxa"/>
            <w:tcBorders>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15%</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ITT Analysis</w:t>
            </w:r>
          </w:p>
        </w:tc>
        <w:tc>
          <w:tcPr>
            <w:tcW w:w="5103" w:type="dxa"/>
            <w:tcBorders>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Funding</w:t>
            </w:r>
          </w:p>
        </w:tc>
        <w:tc>
          <w:tcPr>
            <w:tcW w:w="5103"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 xml:space="preserve">Manufacturer </w:t>
            </w:r>
          </w:p>
        </w:tc>
      </w:tr>
    </w:tbl>
    <w:p w:rsidR="00EA7D99" w:rsidRPr="00F7606D" w:rsidRDefault="00EA7D99" w:rsidP="00EA7D99">
      <w:pPr>
        <w:spacing w:line="240" w:lineRule="auto"/>
        <w:rPr>
          <w:b/>
        </w:rPr>
      </w:pPr>
      <w:r w:rsidRPr="00F7606D">
        <w:br w:type="page"/>
      </w:r>
    </w:p>
    <w:p w:rsidR="00EA7D99" w:rsidRPr="00F7606D" w:rsidRDefault="00EA7D99" w:rsidP="00EA7D99">
      <w:pPr>
        <w:pStyle w:val="31"/>
        <w:spacing w:line="240" w:lineRule="auto"/>
        <w:contextualSpacing/>
        <w:jc w:val="both"/>
        <w:rPr>
          <w:szCs w:val="22"/>
          <w:lang w:val="en-GB"/>
        </w:rPr>
      </w:pPr>
      <w:r w:rsidRPr="00F7606D">
        <w:rPr>
          <w:szCs w:val="22"/>
          <w:lang w:val="en-GB"/>
        </w:rPr>
        <w:t>Dimetyl fumarate</w:t>
      </w:r>
    </w:p>
    <w:p w:rsidR="00EA7D99" w:rsidRPr="00F7606D" w:rsidRDefault="00EA7D99" w:rsidP="00746324">
      <w:pPr>
        <w:pStyle w:val="41"/>
        <w:numPr>
          <w:ilvl w:val="0"/>
          <w:numId w:val="0"/>
        </w:numPr>
        <w:spacing w:line="240" w:lineRule="auto"/>
        <w:contextualSpacing/>
        <w:jc w:val="both"/>
        <w:rPr>
          <w:noProof/>
          <w:szCs w:val="22"/>
          <w:lang w:val="en-GB"/>
        </w:rPr>
      </w:pPr>
      <w:r w:rsidRPr="00F7606D">
        <w:rPr>
          <w:szCs w:val="22"/>
          <w:lang w:val="en-GB"/>
        </w:rPr>
        <w:t>DEFINE (</w:t>
      </w:r>
      <w:r w:rsidRPr="00F7606D">
        <w:rPr>
          <w:rFonts w:eastAsia="OTNEJMQuadraat" w:cs="OTNEJMQuadraat"/>
          <w:szCs w:val="22"/>
          <w:lang w:val="en-GB" w:eastAsia="en-US"/>
        </w:rPr>
        <w:t>Determination of the Efficacy and Safety of Oral Fumarate in Relapsing–Remitting MS</w:t>
      </w:r>
      <w:r w:rsidRPr="00F7606D">
        <w:rPr>
          <w:szCs w:val="22"/>
          <w:lang w:val="en-GB"/>
        </w:rPr>
        <w:t xml:space="preserve">) study, Gold </w:t>
      </w:r>
      <w:r w:rsidR="001E0F19">
        <w:rPr>
          <w:szCs w:val="22"/>
          <w:lang w:val="en-GB"/>
        </w:rPr>
        <w:t>et al.</w:t>
      </w:r>
      <w:r w:rsidRPr="00F7606D">
        <w:rPr>
          <w:szCs w:val="22"/>
          <w:lang w:val="en-GB"/>
        </w:rPr>
        <w:t xml:space="preserve"> </w:t>
      </w:r>
      <w:r w:rsidR="00204467" w:rsidRPr="00F7606D">
        <w:rPr>
          <w:szCs w:val="22"/>
          <w:lang w:val="en-GB"/>
        </w:rPr>
        <w:fldChar w:fldCharType="begin">
          <w:fldData xml:space="preserve">PEVuZE5vdGU+PENpdGU+PEF1dGhvcj5Hb2xkPC9BdXRob3I+PFllYXI+MjAxMjwvWWVhcj48UmVj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</w:fldData>
        </w:fldChar>
      </w:r>
      <w:r w:rsidRPr="00F7606D">
        <w:rPr>
          <w:szCs w:val="22"/>
          <w:lang w:val="en-GB"/>
        </w:rPr>
        <w:instrText xml:space="preserve"> ADDIN EN.CITE </w:instrText>
      </w:r>
      <w:r w:rsidR="00204467" w:rsidRPr="00F7606D">
        <w:rPr>
          <w:szCs w:val="22"/>
          <w:lang w:val="en-GB"/>
        </w:rPr>
        <w:fldChar w:fldCharType="begin">
          <w:fldData xml:space="preserve">PEVuZE5vdGU+PENpdGU+PEF1dGhvcj5Hb2xkPC9BdXRob3I+PFllYXI+MjAxMjwvWWVhcj48UmVj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</w:fldData>
        </w:fldChar>
      </w:r>
      <w:r w:rsidRPr="00F7606D">
        <w:rPr>
          <w:szCs w:val="22"/>
          <w:lang w:val="en-GB"/>
        </w:rPr>
        <w:instrText xml:space="preserve"> ADDIN EN.CITE.DATA </w:instrText>
      </w:r>
      <w:r w:rsidR="00204467" w:rsidRPr="00F7606D">
        <w:rPr>
          <w:szCs w:val="22"/>
          <w:lang w:val="en-GB"/>
        </w:rPr>
      </w:r>
      <w:r w:rsidR="00204467" w:rsidRPr="00F7606D">
        <w:rPr>
          <w:szCs w:val="22"/>
          <w:lang w:val="en-GB"/>
        </w:rPr>
        <w:fldChar w:fldCharType="end"/>
      </w:r>
      <w:r w:rsidR="00204467" w:rsidRPr="00F7606D">
        <w:rPr>
          <w:szCs w:val="22"/>
          <w:lang w:val="en-GB"/>
        </w:rPr>
      </w:r>
      <w:r w:rsidR="00204467" w:rsidRPr="00F7606D">
        <w:rPr>
          <w:szCs w:val="22"/>
          <w:lang w:val="en-GB"/>
        </w:rPr>
        <w:fldChar w:fldCharType="separate"/>
      </w:r>
      <w:r w:rsidRPr="00F7606D">
        <w:rPr>
          <w:noProof/>
          <w:szCs w:val="22"/>
          <w:lang w:val="en-GB"/>
        </w:rPr>
        <w:t>(</w:t>
      </w:r>
      <w:r w:rsidR="001E0F19">
        <w:rPr>
          <w:noProof/>
          <w:szCs w:val="22"/>
          <w:lang w:val="en-GB"/>
        </w:rPr>
        <w:t>2012</w:t>
      </w:r>
      <w:r w:rsidRPr="00F7606D">
        <w:rPr>
          <w:noProof/>
          <w:szCs w:val="22"/>
          <w:lang w:val="en-GB"/>
        </w:rPr>
        <w:t>)</w:t>
      </w:r>
      <w:r w:rsidR="00204467" w:rsidRPr="00F7606D">
        <w:rPr>
          <w:szCs w:val="22"/>
          <w:lang w:val="en-GB"/>
        </w:rPr>
        <w:fldChar w:fldCharType="end"/>
      </w:r>
      <w:r w:rsidRPr="00F7606D">
        <w:rPr>
          <w:szCs w:val="22"/>
          <w:lang w:val="en-GB"/>
        </w:rPr>
        <w:t xml:space="preserve">, in </w:t>
      </w:r>
      <w:r w:rsidR="00663354">
        <w:rPr>
          <w:szCs w:val="22"/>
          <w:lang w:val="en-GB"/>
        </w:rPr>
        <w:t>Tran</w:t>
      </w:r>
      <w:r w:rsidRPr="00F7606D">
        <w:rPr>
          <w:szCs w:val="22"/>
          <w:lang w:val="en-GB"/>
        </w:rPr>
        <w:t xml:space="preserve"> et al. </w:t>
      </w:r>
      <w:r w:rsidR="00204467" w:rsidRPr="00F7606D">
        <w:rPr>
          <w:szCs w:val="22"/>
          <w:lang w:val="en-GB"/>
        </w:rPr>
        <w:fldChar w:fldCharType="begin"/>
      </w:r>
      <w:r w:rsidRPr="00F7606D">
        <w:rPr>
          <w:szCs w:val="22"/>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szCs w:val="22"/>
          <w:lang w:val="en-GB"/>
        </w:rPr>
        <w:fldChar w:fldCharType="separate"/>
      </w:r>
      <w:r w:rsidRPr="00F7606D">
        <w:rPr>
          <w:noProof/>
          <w:szCs w:val="22"/>
          <w:lang w:val="en-GB"/>
        </w:rPr>
        <w:t>(</w:t>
      </w:r>
      <w:r w:rsidR="001E0F19">
        <w:rPr>
          <w:noProof/>
          <w:szCs w:val="22"/>
          <w:lang w:val="en-GB"/>
        </w:rPr>
        <w:t>2013</w:t>
      </w:r>
      <w:r w:rsidRPr="00F7606D">
        <w:rPr>
          <w:noProof/>
          <w:szCs w:val="22"/>
          <w:lang w:val="en-GB"/>
        </w:rPr>
        <w:t>)</w:t>
      </w:r>
      <w:r w:rsidR="00204467" w:rsidRPr="00F7606D">
        <w:rPr>
          <w:szCs w:val="22"/>
          <w:lang w:val="en-GB"/>
        </w:rPr>
        <w:fldChar w:fldCharType="end"/>
      </w:r>
    </w:p>
    <w:tbl>
      <w:tblPr>
        <w:tblStyle w:val="afff"/>
        <w:tblW w:w="9493" w:type="dxa"/>
        <w:tblLook w:val="04A0"/>
      </w:tblPr>
      <w:tblGrid>
        <w:gridCol w:w="2547"/>
        <w:gridCol w:w="1699"/>
        <w:gridCol w:w="5247"/>
      </w:tblGrid>
      <w:tr w:rsidR="00EA7D99" w:rsidRPr="00F7606D" w:rsidTr="00EA7D99">
        <w:tc>
          <w:tcPr>
            <w:tcW w:w="25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RCT identification</w:t>
            </w:r>
          </w:p>
        </w:tc>
        <w:tc>
          <w:tcPr>
            <w:tcW w:w="69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OTNEJMQuadraat" w:cs="OTNEJMQuadraat"/>
                <w:szCs w:val="22"/>
                <w:lang w:val="en-GB" w:eastAsia="en-US"/>
              </w:rPr>
              <w:t>NCT00420212</w:t>
            </w:r>
          </w:p>
        </w:tc>
      </w:tr>
      <w:tr w:rsidR="00EA7D99" w:rsidRPr="00685670" w:rsidTr="00EA7D99">
        <w:tc>
          <w:tcPr>
            <w:tcW w:w="25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Study setting</w:t>
            </w:r>
          </w:p>
        </w:tc>
        <w:tc>
          <w:tcPr>
            <w:tcW w:w="69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eastAsia="OTNEJMQuadraat" w:hAnsi="Georgia" w:cs="OTNEJMQuadraat"/>
                <w:sz w:val="22"/>
                <w:szCs w:val="22"/>
                <w:lang w:val="en-GB"/>
              </w:rPr>
              <w:t xml:space="preserve">Randomized, double-blind, placebo controlled trial. 198 sites in 28 countries </w:t>
            </w:r>
            <w:r w:rsidRPr="00F7606D">
              <w:rPr>
                <w:rFonts w:ascii="Georgia" w:hAnsi="Georgia"/>
                <w:sz w:val="22"/>
                <w:szCs w:val="22"/>
                <w:lang w:val="en-GB"/>
              </w:rPr>
              <w:t>including Europe, Canada, and US</w:t>
            </w:r>
          </w:p>
        </w:tc>
      </w:tr>
      <w:tr w:rsidR="00EA7D99" w:rsidRPr="00685670" w:rsidTr="00EA7D99">
        <w:tc>
          <w:tcPr>
            <w:tcW w:w="254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 xml:space="preserve">Participants </w:t>
            </w:r>
          </w:p>
        </w:tc>
        <w:tc>
          <w:tcPr>
            <w:tcW w:w="69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sz w:val="22"/>
                <w:szCs w:val="22"/>
                <w:u w:val="single"/>
                <w:lang w:val="en-GB"/>
              </w:rPr>
              <w:t>Eligibility criteria:</w:t>
            </w:r>
            <w:r w:rsidRPr="00F7606D">
              <w:rPr>
                <w:rFonts w:ascii="Georgia" w:hAnsi="Georgia"/>
                <w:sz w:val="22"/>
                <w:szCs w:val="22"/>
                <w:lang w:val="en-GB"/>
              </w:rPr>
              <w:t xml:space="preserve"> Age = 18 years to 55 years, diagnosis of RRMS (McDonald criteria), EDSS = 0 to 5.0; ≥1 clinically documented relapse within 12 months before randomization, or ≥ 1 gadolinium-enhancing lesion within 6 weeks before randomization </w:t>
            </w: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sz w:val="22"/>
                <w:szCs w:val="22"/>
                <w:u w:val="single"/>
                <w:lang w:val="en-GB"/>
              </w:rPr>
              <w:t>Key exclusion criteria:</w:t>
            </w:r>
            <w:r w:rsidRPr="00F7606D">
              <w:rPr>
                <w:rFonts w:ascii="Georgia" w:hAnsi="Georgia"/>
                <w:sz w:val="22"/>
                <w:szCs w:val="22"/>
                <w:lang w:val="en-GB"/>
              </w:rPr>
              <w:t xml:space="preserve"> Progressive forms of MS, another major disease that would preclude participation in the clinical trial, abnormal results on the pre-specified laboratory tests, or recent exposure to contraindicated medications</w:t>
            </w:r>
          </w:p>
          <w:p w:rsidR="00EA7D99" w:rsidRPr="00F7606D" w:rsidRDefault="00EA7D99" w:rsidP="00EA7D99">
            <w:pPr>
              <w:spacing w:line="240" w:lineRule="auto"/>
              <w:contextualSpacing/>
              <w:jc w:val="both"/>
              <w:rPr>
                <w:rFonts w:eastAsiaTheme="minorHAnsi" w:cs="AdvP641C"/>
                <w:szCs w:val="22"/>
                <w:lang w:val="en-GB" w:eastAsia="en-US"/>
              </w:rPr>
            </w:pPr>
            <w:r w:rsidRPr="00F7606D">
              <w:rPr>
                <w:i/>
                <w:szCs w:val="22"/>
                <w:u w:val="single"/>
                <w:lang w:val="en-GB"/>
              </w:rPr>
              <w:t>Baseline characteristics:</w:t>
            </w:r>
            <w:r w:rsidRPr="00F7606D">
              <w:rPr>
                <w:szCs w:val="22"/>
                <w:lang w:val="en-GB"/>
              </w:rPr>
              <w:t xml:space="preserve"> Age: 38+/-9 years; 74% female; EDSS 2,4+/-1,2</w:t>
            </w:r>
          </w:p>
        </w:tc>
      </w:tr>
      <w:tr w:rsidR="00EA7D99" w:rsidRPr="00685670" w:rsidTr="00EA7D99">
        <w:tc>
          <w:tcPr>
            <w:tcW w:w="254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Intervention group</w:t>
            </w:r>
          </w:p>
        </w:tc>
        <w:tc>
          <w:tcPr>
            <w:tcW w:w="69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bCs/>
                <w:sz w:val="22"/>
                <w:szCs w:val="22"/>
                <w:lang w:val="en-GB"/>
              </w:rPr>
              <w:t>Dimethyl fumarate 240 mg oral twice daily (</w:t>
            </w:r>
            <w:r w:rsidRPr="00F7606D">
              <w:rPr>
                <w:rFonts w:ascii="Georgia" w:hAnsi="Georgia"/>
                <w:sz w:val="22"/>
                <w:szCs w:val="22"/>
                <w:lang w:val="en-GB"/>
              </w:rPr>
              <w:t>480 mg/day)</w:t>
            </w:r>
            <w:r w:rsidRPr="00F7606D">
              <w:rPr>
                <w:rFonts w:ascii="Georgia" w:hAnsi="Georgia"/>
                <w:bCs/>
                <w:sz w:val="22"/>
                <w:szCs w:val="22"/>
                <w:lang w:val="en-GB"/>
              </w:rPr>
              <w:t xml:space="preserve"> </w:t>
            </w:r>
            <w:r w:rsidRPr="00F7606D">
              <w:rPr>
                <w:rFonts w:ascii="Georgia" w:hAnsi="Georgia"/>
                <w:sz w:val="22"/>
                <w:szCs w:val="22"/>
                <w:lang w:val="en-GB"/>
              </w:rPr>
              <w:t xml:space="preserve">(n = 410) </w:t>
            </w:r>
            <w:r w:rsidRPr="00F7606D">
              <w:rPr>
                <w:rFonts w:ascii="Georgia" w:hAnsi="Georgia"/>
                <w:bCs/>
                <w:sz w:val="22"/>
                <w:szCs w:val="22"/>
                <w:lang w:val="en-GB"/>
              </w:rPr>
              <w:t xml:space="preserve">Dimethyl fumarate 240 mg oral 3 times daily </w:t>
            </w:r>
            <w:r w:rsidRPr="00F7606D">
              <w:rPr>
                <w:rFonts w:ascii="Georgia" w:hAnsi="Georgia"/>
                <w:sz w:val="22"/>
                <w:szCs w:val="22"/>
                <w:lang w:val="en-GB"/>
              </w:rPr>
              <w:t xml:space="preserve">(720 mg/day) (n = 416) </w:t>
            </w:r>
          </w:p>
        </w:tc>
      </w:tr>
      <w:tr w:rsidR="00EA7D99" w:rsidRPr="00F7606D" w:rsidTr="00EA7D99">
        <w:tc>
          <w:tcPr>
            <w:tcW w:w="25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Comparison group</w:t>
            </w:r>
          </w:p>
        </w:tc>
        <w:tc>
          <w:tcPr>
            <w:tcW w:w="69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bCs/>
                <w:sz w:val="22"/>
                <w:szCs w:val="22"/>
                <w:lang w:val="en-GB"/>
              </w:rPr>
              <w:t xml:space="preserve">Placebo </w:t>
            </w:r>
            <w:r w:rsidRPr="00F7606D">
              <w:rPr>
                <w:rFonts w:ascii="Georgia" w:hAnsi="Georgia"/>
                <w:sz w:val="22"/>
                <w:szCs w:val="22"/>
                <w:lang w:val="en-GB"/>
              </w:rPr>
              <w:t xml:space="preserve">(n = 408) </w:t>
            </w:r>
          </w:p>
        </w:tc>
      </w:tr>
      <w:tr w:rsidR="00EA7D99" w:rsidRPr="00685670" w:rsidTr="00EA7D99">
        <w:tc>
          <w:tcPr>
            <w:tcW w:w="25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w:t>
            </w:r>
          </w:p>
        </w:tc>
        <w:tc>
          <w:tcPr>
            <w:tcW w:w="69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w:t>
            </w:r>
            <w:r w:rsidRPr="00F7606D">
              <w:rPr>
                <w:rFonts w:ascii="Georgia" w:hAnsi="Georgia"/>
                <w:sz w:val="22"/>
                <w:szCs w:val="22"/>
                <w:u w:val="single"/>
                <w:lang w:val="en-GB"/>
              </w:rPr>
              <w:t>:</w:t>
            </w:r>
            <w:r w:rsidRPr="00F7606D">
              <w:rPr>
                <w:rFonts w:ascii="Georgia" w:hAnsi="Georgia"/>
                <w:sz w:val="22"/>
                <w:szCs w:val="22"/>
                <w:lang w:val="en-GB"/>
              </w:rPr>
              <w:t xml:space="preserve"> Patients’ proportion who had a relapse by 2 years </w:t>
            </w:r>
          </w:p>
          <w:p w:rsidR="00EA7D99" w:rsidRPr="00F7606D" w:rsidRDefault="00EA7D99" w:rsidP="00EA7D99">
            <w:pPr>
              <w:tabs>
                <w:tab w:val="clear" w:pos="510"/>
              </w:tabs>
              <w:autoSpaceDE w:val="0"/>
              <w:autoSpaceDN w:val="0"/>
              <w:adjustRightInd w:val="0"/>
              <w:spacing w:line="240" w:lineRule="auto"/>
              <w:contextualSpacing/>
              <w:rPr>
                <w:szCs w:val="22"/>
                <w:lang w:val="en-GB"/>
              </w:rPr>
            </w:pPr>
            <w:r w:rsidRPr="00F7606D">
              <w:rPr>
                <w:i/>
                <w:iCs/>
                <w:szCs w:val="22"/>
                <w:u w:val="single"/>
                <w:lang w:val="en-GB"/>
              </w:rPr>
              <w:t>Secondary endpoints</w:t>
            </w:r>
            <w:r w:rsidRPr="00F7606D">
              <w:rPr>
                <w:szCs w:val="22"/>
                <w:u w:val="single"/>
                <w:lang w:val="en-GB"/>
              </w:rPr>
              <w:t>:</w:t>
            </w:r>
            <w:r w:rsidRPr="00F7606D">
              <w:rPr>
                <w:szCs w:val="22"/>
                <w:lang w:val="en-GB"/>
              </w:rPr>
              <w:t xml:space="preserve"> Different MRI outcomes at 2 years, annualized relapse rate, time to progression disability. </w:t>
            </w:r>
          </w:p>
          <w:p w:rsidR="00EA7D99" w:rsidRPr="00F7606D" w:rsidRDefault="00EA7D99" w:rsidP="00EA7D99">
            <w:pPr>
              <w:tabs>
                <w:tab w:val="clear" w:pos="510"/>
              </w:tabs>
              <w:autoSpaceDE w:val="0"/>
              <w:autoSpaceDN w:val="0"/>
              <w:adjustRightInd w:val="0"/>
              <w:spacing w:line="240" w:lineRule="auto"/>
              <w:contextualSpacing/>
              <w:rPr>
                <w:szCs w:val="22"/>
                <w:lang w:val="en-GB"/>
              </w:rPr>
            </w:pPr>
            <w:r w:rsidRPr="00F7606D">
              <w:rPr>
                <w:szCs w:val="22"/>
                <w:u w:val="single"/>
                <w:lang w:val="en-GB"/>
              </w:rPr>
              <w:t>Definitions used for endpoints:</w:t>
            </w:r>
            <w:r w:rsidRPr="00F7606D">
              <w:rPr>
                <w:szCs w:val="22"/>
                <w:lang w:val="en-GB"/>
              </w:rPr>
              <w:t xml:space="preserve"> </w:t>
            </w:r>
            <w:r w:rsidRPr="00F7606D">
              <w:rPr>
                <w:i/>
                <w:iCs/>
                <w:szCs w:val="22"/>
                <w:u w:val="single"/>
                <w:lang w:val="en-GB"/>
              </w:rPr>
              <w:t>Relapses</w:t>
            </w:r>
            <w:r w:rsidRPr="00F7606D">
              <w:rPr>
                <w:szCs w:val="22"/>
                <w:u w:val="single"/>
                <w:lang w:val="en-GB"/>
              </w:rPr>
              <w:t>:</w:t>
            </w:r>
            <w:r w:rsidRPr="00F7606D">
              <w:rPr>
                <w:szCs w:val="22"/>
                <w:lang w:val="en-GB"/>
              </w:rPr>
              <w:t xml:space="preserve"> New or recurrent neurologic symptoms, not associated with fever or infection, that lasted at least 24 hours and that were accompanied by new objective neurologic findings according to neurologist's evaluation.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i/>
                <w:iCs/>
                <w:szCs w:val="22"/>
                <w:u w:val="single"/>
                <w:lang w:val="en-GB"/>
              </w:rPr>
              <w:t>Disability progression</w:t>
            </w:r>
            <w:r w:rsidRPr="00F7606D">
              <w:rPr>
                <w:szCs w:val="22"/>
                <w:u w:val="single"/>
                <w:lang w:val="en-GB"/>
              </w:rPr>
              <w:t>:</w:t>
            </w:r>
            <w:r w:rsidRPr="00F7606D">
              <w:rPr>
                <w:szCs w:val="22"/>
                <w:lang w:val="en-GB"/>
              </w:rPr>
              <w:t xml:space="preserve"> At least a 1.0-point increase on the EDSS in patients with a baseline score of 1.0 or higher or at least a 1.5-point increase in patients with a baseline score of 0, with the increased score sustained for at least 12 weeks. </w:t>
            </w:r>
          </w:p>
        </w:tc>
      </w:tr>
      <w:tr w:rsidR="00EA7D99" w:rsidRPr="00F7606D" w:rsidTr="00EA7D99">
        <w:tc>
          <w:tcPr>
            <w:tcW w:w="25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Follow-up</w:t>
            </w:r>
          </w:p>
        </w:tc>
        <w:tc>
          <w:tcPr>
            <w:tcW w:w="69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2 years</w:t>
            </w:r>
          </w:p>
        </w:tc>
      </w:tr>
      <w:tr w:rsidR="00EA7D99" w:rsidRPr="00685670" w:rsidTr="00EA7D99">
        <w:tc>
          <w:tcPr>
            <w:tcW w:w="25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Treatment history</w:t>
            </w:r>
          </w:p>
        </w:tc>
        <w:tc>
          <w:tcPr>
            <w:tcW w:w="69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Mixed (based on baseline characteristics)</w:t>
            </w:r>
          </w:p>
        </w:tc>
      </w:tr>
      <w:tr w:rsidR="00EA7D99" w:rsidRPr="00E02224" w:rsidTr="00EA7D99">
        <w:tc>
          <w:tcPr>
            <w:tcW w:w="254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Comments</w:t>
            </w:r>
          </w:p>
        </w:tc>
        <w:tc>
          <w:tcPr>
            <w:tcW w:w="6946"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szCs w:val="22"/>
                <w:lang w:val="en-GB"/>
              </w:rPr>
            </w:pPr>
            <w:r w:rsidRPr="00F7606D">
              <w:rPr>
                <w:szCs w:val="22"/>
                <w:lang w:val="en-GB"/>
              </w:rPr>
              <w:t>Patients could switch to an approved alternative MS therapy if they had completed 48 weeks of blinded treatment, and had at least 1 confirmed relapse after 24 weeks, or at any time if they had experienced disability progression sustained for 12 weeks.</w:t>
            </w:r>
          </w:p>
        </w:tc>
      </w:tr>
      <w:tr w:rsidR="00EA7D99" w:rsidRPr="00F7606D" w:rsidTr="0075275D">
        <w:tc>
          <w:tcPr>
            <w:tcW w:w="94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Randomization</w:t>
            </w:r>
          </w:p>
        </w:tc>
        <w:tc>
          <w:tcPr>
            <w:tcW w:w="52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Allocation concealment</w:t>
            </w:r>
          </w:p>
        </w:tc>
        <w:tc>
          <w:tcPr>
            <w:tcW w:w="52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Double-blinding</w:t>
            </w:r>
          </w:p>
        </w:tc>
        <w:tc>
          <w:tcPr>
            <w:tcW w:w="52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Baseline characteristic similarity</w:t>
            </w:r>
          </w:p>
        </w:tc>
        <w:tc>
          <w:tcPr>
            <w:tcW w:w="52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 measures</w:t>
            </w:r>
          </w:p>
        </w:tc>
        <w:tc>
          <w:tcPr>
            <w:tcW w:w="52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Withdrawals</w:t>
            </w:r>
          </w:p>
        </w:tc>
        <w:tc>
          <w:tcPr>
            <w:tcW w:w="52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23%</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ITT Analysis</w:t>
            </w:r>
          </w:p>
        </w:tc>
        <w:tc>
          <w:tcPr>
            <w:tcW w:w="52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Funding</w:t>
            </w:r>
          </w:p>
        </w:tc>
        <w:tc>
          <w:tcPr>
            <w:tcW w:w="52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Manufacturer (Biogen)</w:t>
            </w:r>
          </w:p>
        </w:tc>
      </w:tr>
    </w:tbl>
    <w:p w:rsidR="00EA7D99" w:rsidRPr="00F7606D" w:rsidRDefault="00EA7D99" w:rsidP="00EA7D99">
      <w:pPr>
        <w:autoSpaceDE w:val="0"/>
        <w:autoSpaceDN w:val="0"/>
        <w:adjustRightInd w:val="0"/>
        <w:spacing w:line="240" w:lineRule="auto"/>
        <w:contextualSpacing/>
        <w:rPr>
          <w:rStyle w:val="4Char"/>
          <w:rFonts w:eastAsiaTheme="minorHAnsi"/>
        </w:rPr>
      </w:pPr>
    </w:p>
    <w:p w:rsidR="00EA7D99" w:rsidRPr="00F7606D" w:rsidRDefault="00EA7D99" w:rsidP="00EA7D99">
      <w:pPr>
        <w:spacing w:line="240" w:lineRule="auto"/>
        <w:rPr>
          <w:rStyle w:val="4Char"/>
          <w:rFonts w:eastAsiaTheme="minorHAnsi"/>
        </w:rPr>
      </w:pPr>
      <w:r w:rsidRPr="00F7606D">
        <w:rPr>
          <w:rStyle w:val="4Char"/>
          <w:rFonts w:eastAsiaTheme="minorHAnsi"/>
        </w:rPr>
        <w:br w:type="page"/>
      </w:r>
    </w:p>
    <w:p w:rsidR="00EA7D99" w:rsidRPr="00F7606D" w:rsidRDefault="00EA7D99" w:rsidP="00EA7D99">
      <w:pPr>
        <w:autoSpaceDE w:val="0"/>
        <w:autoSpaceDN w:val="0"/>
        <w:adjustRightInd w:val="0"/>
        <w:spacing w:line="240" w:lineRule="auto"/>
        <w:contextualSpacing/>
        <w:rPr>
          <w:rFonts w:ascii="OTNEJMScalaSansLF" w:hAnsi="OTNEJMScalaSansLF" w:cs="OTNEJMScalaSansLF"/>
          <w:sz w:val="15"/>
          <w:szCs w:val="15"/>
        </w:rPr>
      </w:pPr>
      <w:r w:rsidRPr="00EA7D99">
        <w:rPr>
          <w:rStyle w:val="4Char"/>
          <w:rFonts w:eastAsiaTheme="minorHAnsi"/>
          <w:lang w:val="en-GB"/>
        </w:rPr>
        <w:t xml:space="preserve">CONFIRM (Comparator and an Oral Fumarate in Relapsing–Remitting Multiple Sclerosis) study 2012, Fox et al., </w:t>
      </w:r>
      <w:r w:rsidR="00204467" w:rsidRPr="00F7606D">
        <w:rPr>
          <w:rStyle w:val="4Char"/>
          <w:rFonts w:eastAsiaTheme="minorHAnsi"/>
        </w:rPr>
        <w:fldChar w:fldCharType="begin">
          <w:fldData xml:space="preserve">PEVuZE5vdGU+PENpdGU+PEF1dGhvcj5Gb3g8L0F1dGhvcj48WWVhcj4yMDEyPC9ZZWFyPjxSZWNO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</w:fldData>
        </w:fldChar>
      </w:r>
      <w:r w:rsidRPr="00EA7D99">
        <w:rPr>
          <w:rStyle w:val="4Char"/>
          <w:rFonts w:eastAsiaTheme="minorHAnsi"/>
          <w:lang w:val="en-GB"/>
        </w:rPr>
        <w:instrText xml:space="preserve"> ADDIN EN.CITE </w:instrText>
      </w:r>
      <w:r w:rsidR="00204467" w:rsidRPr="00F7606D">
        <w:rPr>
          <w:rStyle w:val="4Char"/>
          <w:rFonts w:eastAsiaTheme="minorHAnsi"/>
        </w:rPr>
        <w:fldChar w:fldCharType="begin">
          <w:fldData xml:space="preserve">PEVuZE5vdGU+PENpdGU+PEF1dGhvcj5Gb3g8L0F1dGhvcj48WWVhcj4yMDEyPC9ZZWFyPjxSZWNO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</w:fldData>
        </w:fldChar>
      </w:r>
      <w:r w:rsidRPr="00EA7D99">
        <w:rPr>
          <w:rStyle w:val="4Char"/>
          <w:rFonts w:eastAsiaTheme="minorHAnsi"/>
          <w:lang w:val="en-GB"/>
        </w:rPr>
        <w:instrText xml:space="preserve"> ADDIN EN.CITE.DATA </w:instrText>
      </w:r>
      <w:r w:rsidR="00204467" w:rsidRPr="00F7606D">
        <w:rPr>
          <w:rStyle w:val="4Char"/>
          <w:rFonts w:eastAsiaTheme="minorHAnsi"/>
        </w:rPr>
      </w:r>
      <w:r w:rsidR="00204467" w:rsidRPr="00F7606D">
        <w:rPr>
          <w:rStyle w:val="4Char"/>
          <w:rFonts w:eastAsiaTheme="minorHAnsi"/>
        </w:rPr>
        <w:fldChar w:fldCharType="end"/>
      </w:r>
      <w:r w:rsidR="00204467" w:rsidRPr="00F7606D">
        <w:rPr>
          <w:rStyle w:val="4Char"/>
          <w:rFonts w:eastAsiaTheme="minorHAnsi"/>
        </w:rPr>
      </w:r>
      <w:r w:rsidR="00204467" w:rsidRPr="00F7606D">
        <w:rPr>
          <w:rStyle w:val="4Char"/>
          <w:rFonts w:eastAsiaTheme="minorHAnsi"/>
        </w:rPr>
        <w:fldChar w:fldCharType="separate"/>
      </w:r>
      <w:r w:rsidRPr="00EA7D99">
        <w:rPr>
          <w:rStyle w:val="4Char"/>
          <w:rFonts w:eastAsiaTheme="minorHAnsi"/>
          <w:noProof/>
          <w:lang w:val="en-GB"/>
        </w:rPr>
        <w:t>(</w:t>
      </w:r>
      <w:r w:rsidR="001E0F19">
        <w:rPr>
          <w:rStyle w:val="4Char"/>
          <w:rFonts w:eastAsiaTheme="minorHAnsi"/>
          <w:noProof/>
          <w:lang w:val="en-GB"/>
        </w:rPr>
        <w:t>2012</w:t>
      </w:r>
      <w:r w:rsidRPr="00EA7D99">
        <w:rPr>
          <w:rStyle w:val="4Char"/>
          <w:rFonts w:eastAsiaTheme="minorHAnsi"/>
          <w:noProof/>
          <w:lang w:val="en-GB"/>
        </w:rPr>
        <w:t>)</w:t>
      </w:r>
      <w:r w:rsidR="00204467" w:rsidRPr="00F7606D">
        <w:rPr>
          <w:rStyle w:val="4Char"/>
          <w:rFonts w:eastAsiaTheme="minorHAnsi"/>
        </w:rPr>
        <w:fldChar w:fldCharType="end"/>
      </w:r>
      <w:r w:rsidRPr="00EA7D99">
        <w:rPr>
          <w:rStyle w:val="4Char"/>
          <w:rFonts w:eastAsiaTheme="minorHAnsi"/>
          <w:lang w:val="en-GB"/>
        </w:rPr>
        <w:t xml:space="preserve">, in </w:t>
      </w:r>
      <w:r w:rsidR="00663354">
        <w:rPr>
          <w:rStyle w:val="4Char"/>
          <w:rFonts w:eastAsiaTheme="minorHAnsi"/>
          <w:lang w:val="en-GB"/>
        </w:rPr>
        <w:t>Tran</w:t>
      </w:r>
      <w:r w:rsidRPr="00EA7D99">
        <w:rPr>
          <w:rStyle w:val="4Char"/>
          <w:rFonts w:eastAsiaTheme="minorHAnsi"/>
          <w:lang w:val="en-GB"/>
        </w:rPr>
        <w:t xml:space="preserve"> et al</w:t>
      </w:r>
      <w:r w:rsidRPr="00F7606D">
        <w:rPr>
          <w:b/>
          <w:i/>
        </w:rPr>
        <w:t xml:space="preserve">. </w:t>
      </w:r>
      <w:r w:rsidR="00204467" w:rsidRPr="00F7606D">
        <w:rPr>
          <w:b/>
          <w:i/>
        </w:rPr>
        <w:fldChar w:fldCharType="begin"/>
      </w:r>
      <w:r w:rsidRPr="00F7606D">
        <w:rPr>
          <w:b/>
          <w:i/>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b/>
          <w:i/>
        </w:rPr>
        <w:fldChar w:fldCharType="separate"/>
      </w:r>
      <w:r w:rsidRPr="00F7606D">
        <w:rPr>
          <w:b/>
          <w:i/>
          <w:noProof/>
        </w:rPr>
        <w:t>(</w:t>
      </w:r>
      <w:r w:rsidR="001E0F19">
        <w:rPr>
          <w:b/>
          <w:i/>
          <w:noProof/>
        </w:rPr>
        <w:t>2013</w:t>
      </w:r>
      <w:r w:rsidRPr="00F7606D">
        <w:rPr>
          <w:b/>
          <w:i/>
          <w:noProof/>
        </w:rPr>
        <w:t>)</w:t>
      </w:r>
      <w:r w:rsidR="00204467" w:rsidRPr="00F7606D">
        <w:rPr>
          <w:b/>
          <w:i/>
        </w:rPr>
        <w:fldChar w:fldCharType="end"/>
      </w:r>
    </w:p>
    <w:tbl>
      <w:tblPr>
        <w:tblStyle w:val="afff"/>
        <w:tblW w:w="9351" w:type="dxa"/>
        <w:tblLook w:val="04A0"/>
      </w:tblPr>
      <w:tblGrid>
        <w:gridCol w:w="2687"/>
        <w:gridCol w:w="1561"/>
        <w:gridCol w:w="5103"/>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cs="OTNEJMQuadraat"/>
                <w:szCs w:val="22"/>
                <w:lang w:val="en-GB" w:eastAsia="en-US"/>
              </w:rPr>
              <w:t>NCT00451451</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AGaramond-R"/>
                <w:color w:val="231F20"/>
                <w:szCs w:val="22"/>
                <w:lang w:val="en-GB" w:eastAsia="en-US"/>
              </w:rPr>
            </w:pPr>
            <w:r w:rsidRPr="00F7606D">
              <w:rPr>
                <w:rFonts w:eastAsiaTheme="minorHAnsi" w:cs="AdvAGaramond-R"/>
                <w:color w:val="231F20"/>
                <w:szCs w:val="22"/>
                <w:lang w:val="en-GB" w:eastAsia="en-US"/>
              </w:rPr>
              <w:t>Rater-blinded, randomized controlled trial. in 200 research sites in 28 countries including Europe and North America</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OTNEJMQuadraat"/>
                <w:szCs w:val="22"/>
                <w:lang w:val="en-GB" w:eastAsia="en-US"/>
              </w:rPr>
            </w:pPr>
            <w:r w:rsidRPr="00F7606D">
              <w:rPr>
                <w:rFonts w:eastAsiaTheme="minorHAnsi" w:cs="OTNEJMQuadraat"/>
                <w:i/>
                <w:szCs w:val="22"/>
                <w:u w:val="single"/>
                <w:lang w:val="en-GB" w:eastAsia="en-US"/>
              </w:rPr>
              <w:t>Eligibility criteria:</w:t>
            </w:r>
            <w:r w:rsidRPr="00F7606D">
              <w:rPr>
                <w:rFonts w:eastAsiaTheme="minorHAnsi" w:cs="OTNEJMQuadraat"/>
                <w:i/>
                <w:szCs w:val="22"/>
                <w:lang w:val="en-GB" w:eastAsia="en-US"/>
              </w:rPr>
              <w:t xml:space="preserve"> </w:t>
            </w:r>
            <w:r w:rsidRPr="00F7606D">
              <w:rPr>
                <w:rFonts w:eastAsiaTheme="minorHAnsi" w:cs="OTNEJMQuadraat"/>
                <w:szCs w:val="22"/>
                <w:lang w:val="en-GB" w:eastAsia="en-US"/>
              </w:rPr>
              <w:t xml:space="preserve">RRMS (McDonald criteria), age 18 to 55 years, EDSS 0 to 5 and at least one clinically documented relapse in the previous 12 months or at least one gadolinium-enhancing lesion 0 to 6 weeks before randomization.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OTNEJMQuadraat"/>
                <w:szCs w:val="22"/>
                <w:lang w:val="en-GB" w:eastAsia="en-US"/>
              </w:rPr>
            </w:pPr>
            <w:r w:rsidRPr="00F7606D">
              <w:rPr>
                <w:rFonts w:eastAsiaTheme="minorHAnsi" w:cs="OTNEJMQuadraat"/>
                <w:i/>
                <w:szCs w:val="22"/>
                <w:u w:val="single"/>
                <w:lang w:val="en-GB" w:eastAsia="en-US"/>
              </w:rPr>
              <w:t>Key exclusion criteria:</w:t>
            </w:r>
            <w:r w:rsidRPr="00F7606D">
              <w:rPr>
                <w:rFonts w:eastAsiaTheme="minorHAnsi" w:cs="OTNEJMQuadraat"/>
                <w:szCs w:val="22"/>
                <w:lang w:val="en-GB" w:eastAsia="en-US"/>
              </w:rPr>
              <w:t xml:space="preserve"> Progressive forms of multiple sclerosis,</w:t>
            </w:r>
            <w:r w:rsidRPr="00F7606D">
              <w:rPr>
                <w:rFonts w:eastAsiaTheme="minorHAnsi" w:cs="OTNEJMQuadraatSmallCap"/>
                <w:szCs w:val="22"/>
                <w:lang w:val="en-GB" w:eastAsia="en-US"/>
              </w:rPr>
              <w:t xml:space="preserve">11 </w:t>
            </w:r>
            <w:r w:rsidRPr="00F7606D">
              <w:rPr>
                <w:rFonts w:eastAsiaTheme="minorHAnsi" w:cs="OTNEJMQuadraat"/>
                <w:szCs w:val="22"/>
                <w:lang w:val="en-GB" w:eastAsia="en-US"/>
              </w:rPr>
              <w:t xml:space="preserve">other clinically significant illness, prespecified laboratory abnormalities, and prior exposure to glatiramer acetate or contraindicated medications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AGaramond-R"/>
                <w:color w:val="231F20"/>
                <w:szCs w:val="22"/>
                <w:highlight w:val="yellow"/>
                <w:lang w:val="en-GB" w:eastAsia="en-US"/>
              </w:rPr>
            </w:pPr>
            <w:r w:rsidRPr="00F7606D">
              <w:rPr>
                <w:rFonts w:eastAsiaTheme="minorHAnsi" w:cs="AdvAGaramond-R"/>
                <w:i/>
                <w:color w:val="231F20"/>
                <w:szCs w:val="22"/>
                <w:u w:val="single"/>
                <w:lang w:val="en-GB" w:eastAsia="en-US"/>
              </w:rPr>
              <w:t>Baseline characteristics:</w:t>
            </w:r>
            <w:r w:rsidRPr="00F7606D">
              <w:rPr>
                <w:rFonts w:eastAsiaTheme="minorHAnsi" w:cs="AdvAGaramond-R"/>
                <w:color w:val="231F20"/>
                <w:szCs w:val="22"/>
                <w:lang w:val="en-GB" w:eastAsia="en-US"/>
              </w:rPr>
              <w:t xml:space="preserve"> Age: 37 +/-9, 70% female, </w:t>
            </w:r>
            <w:r w:rsidRPr="00F7606D">
              <w:rPr>
                <w:rFonts w:eastAsiaTheme="minorHAnsi" w:cs="AdvP641C"/>
                <w:szCs w:val="22"/>
                <w:lang w:val="en-GB" w:eastAsia="en-US"/>
              </w:rPr>
              <w:t>EDSS score:</w:t>
            </w:r>
            <w:r w:rsidRPr="00F7606D">
              <w:rPr>
                <w:rFonts w:eastAsiaTheme="minorHAnsi" w:cs="AdvAGaramond-R"/>
                <w:color w:val="231F20"/>
                <w:szCs w:val="22"/>
                <w:lang w:val="en-GB" w:eastAsia="en-US"/>
              </w:rPr>
              <w:t xml:space="preserve"> 2.6 +/-1.2</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tabs>
                <w:tab w:val="clear" w:pos="510"/>
              </w:tabs>
              <w:autoSpaceDE w:val="0"/>
              <w:autoSpaceDN w:val="0"/>
              <w:adjustRightInd w:val="0"/>
              <w:spacing w:line="240" w:lineRule="auto"/>
              <w:contextualSpacing/>
              <w:jc w:val="both"/>
              <w:rPr>
                <w:rFonts w:eastAsiaTheme="minorHAnsi" w:cs="OTNEJMQuadraat"/>
                <w:szCs w:val="22"/>
                <w:lang w:val="pt-PT" w:eastAsia="en-US"/>
              </w:rPr>
            </w:pPr>
            <w:r w:rsidRPr="00B4105F">
              <w:rPr>
                <w:rFonts w:eastAsiaTheme="minorHAnsi" w:cs="OTNEJMQuadraat"/>
                <w:szCs w:val="22"/>
                <w:lang w:val="pt-PT" w:eastAsia="en-US"/>
              </w:rPr>
              <w:t>Dimethyl fumarate 240 mg b.i.d, (n=359)</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OTNEJMQuadraat"/>
                <w:szCs w:val="22"/>
                <w:lang w:val="en-GB" w:eastAsia="en-US"/>
              </w:rPr>
              <w:t>Dimethyl fumarate 240 mg three times daily (n=345), subcutaneous daily injections of 20 mg of glatiramer acetate for 96 weeks (n=350)</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P641C"/>
                <w:szCs w:val="22"/>
                <w:lang w:val="en-GB" w:eastAsia="en-US"/>
              </w:rPr>
              <w:t>Placebo (n=363)</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w:t>
            </w:r>
            <w:r w:rsidRPr="00F7606D">
              <w:rPr>
                <w:rFonts w:ascii="Georgia" w:hAnsi="Georgia"/>
                <w:sz w:val="22"/>
                <w:szCs w:val="22"/>
                <w:u w:val="single"/>
                <w:lang w:val="en-GB"/>
              </w:rPr>
              <w:t>:</w:t>
            </w:r>
            <w:r w:rsidRPr="00F7606D">
              <w:rPr>
                <w:rFonts w:ascii="Georgia" w:hAnsi="Georgia"/>
                <w:sz w:val="22"/>
                <w:szCs w:val="22"/>
                <w:lang w:val="en-GB"/>
              </w:rPr>
              <w:t xml:space="preserve"> Annualized relapse rate at 2 years. </w:t>
            </w: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lang w:val="en-GB"/>
              </w:rPr>
              <w:t>Secondary endpoints</w:t>
            </w:r>
            <w:r w:rsidRPr="00F7606D">
              <w:rPr>
                <w:rFonts w:ascii="Georgia" w:hAnsi="Georgia"/>
                <w:sz w:val="22"/>
                <w:szCs w:val="22"/>
                <w:lang w:val="en-GB"/>
              </w:rPr>
              <w:t xml:space="preserve">: Different MRI outcomes at 2 years, disability progression.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Tertiary endpoints</w:t>
            </w:r>
            <w:r w:rsidRPr="00F7606D">
              <w:rPr>
                <w:szCs w:val="22"/>
                <w:u w:val="single"/>
                <w:lang w:val="en-GB"/>
              </w:rPr>
              <w:t>:</w:t>
            </w:r>
            <w:r w:rsidRPr="00F7606D">
              <w:rPr>
                <w:szCs w:val="22"/>
                <w:lang w:val="en-GB"/>
              </w:rPr>
              <w:t xml:space="preserve"> Relative benefits and risks of BG-12 or glatiramer acetate versus placebo and the number of gadolinium-enhancing lesions at 2 years.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Cs/>
                <w:sz w:val="22"/>
                <w:szCs w:val="22"/>
                <w:u w:val="single"/>
                <w:lang w:val="en-GB"/>
              </w:rPr>
              <w:t>Definitions used for endpoints:</w:t>
            </w:r>
            <w:r w:rsidRPr="00F7606D">
              <w:rPr>
                <w:rFonts w:ascii="Georgia" w:hAnsi="Georgia"/>
                <w:i/>
                <w:iCs/>
                <w:sz w:val="22"/>
                <w:szCs w:val="22"/>
                <w:lang w:val="en-GB"/>
              </w:rPr>
              <w:t xml:space="preserve"> </w:t>
            </w:r>
            <w:r w:rsidRPr="00F7606D">
              <w:rPr>
                <w:rFonts w:ascii="Georgia" w:hAnsi="Georgia"/>
                <w:i/>
                <w:iCs/>
                <w:sz w:val="22"/>
                <w:szCs w:val="22"/>
                <w:u w:val="single"/>
                <w:lang w:val="en-GB"/>
              </w:rPr>
              <w:t>Relapses</w:t>
            </w:r>
            <w:r w:rsidRPr="00F7606D">
              <w:rPr>
                <w:rFonts w:ascii="Georgia" w:hAnsi="Georgia"/>
                <w:sz w:val="22"/>
                <w:szCs w:val="22"/>
                <w:u w:val="single"/>
                <w:lang w:val="en-GB"/>
              </w:rPr>
              <w:t>:</w:t>
            </w:r>
            <w:r w:rsidRPr="00F7606D">
              <w:rPr>
                <w:rFonts w:ascii="Georgia" w:hAnsi="Georgia"/>
                <w:sz w:val="22"/>
                <w:szCs w:val="22"/>
                <w:lang w:val="en-GB"/>
              </w:rPr>
              <w:t xml:space="preserve"> New or recurrent neurologic symptoms not associated with fever or infection, lasting at least 24 hours, accompanied by new objective neurologic findings, and separated from the onset of other confirmed relapses by at least 30 days.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i/>
                <w:iCs/>
                <w:szCs w:val="22"/>
                <w:u w:val="single"/>
                <w:lang w:val="en-GB"/>
              </w:rPr>
              <w:t>Disability progression</w:t>
            </w:r>
            <w:r w:rsidRPr="00F7606D">
              <w:rPr>
                <w:szCs w:val="22"/>
                <w:u w:val="single"/>
                <w:lang w:val="en-GB"/>
              </w:rPr>
              <w:t>:</w:t>
            </w:r>
            <w:r w:rsidRPr="00F7606D">
              <w:rPr>
                <w:szCs w:val="22"/>
                <w:lang w:val="en-GB"/>
              </w:rPr>
              <w:t xml:space="preserve"> An increase in the EDSS score of at least 1.0 point in patients with a baseline score of 1.0 or more or an increase of at least 1.5 points in patients with a baseline score of 0, confirmed at least 12 weeks later.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2 years</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szCs w:val="22"/>
                <w:lang w:val="en-GB"/>
              </w:rPr>
            </w:pPr>
            <w:r w:rsidRPr="00F7606D">
              <w:rPr>
                <w:szCs w:val="22"/>
                <w:lang w:val="en-GB"/>
              </w:rPr>
              <w:t>Mixed (based on reported baseline characteristics)</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b/>
                <w:szCs w:val="22"/>
                <w:lang w:val="en-GB"/>
              </w:rPr>
            </w:pPr>
            <w:r w:rsidRPr="00F7606D">
              <w:rPr>
                <w:b/>
                <w:bCs/>
                <w:szCs w:val="22"/>
                <w:lang w:val="en-GB"/>
              </w:rPr>
              <w:t xml:space="preserve">Critical appraisal </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Randomization</w:t>
            </w:r>
          </w:p>
        </w:tc>
        <w:tc>
          <w:tcPr>
            <w:tcW w:w="5103" w:type="dxa"/>
            <w:tcBorders>
              <w:top w:val="single" w:sz="4" w:space="0" w:color="auto"/>
              <w:left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Allocation concealement</w:t>
            </w:r>
          </w:p>
        </w:tc>
        <w:tc>
          <w:tcPr>
            <w:tcW w:w="5103" w:type="dxa"/>
            <w:tcBorders>
              <w:left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Double-blinding</w:t>
            </w:r>
          </w:p>
        </w:tc>
        <w:tc>
          <w:tcPr>
            <w:tcW w:w="5103" w:type="dxa"/>
            <w:tcBorders>
              <w:left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szCs w:val="22"/>
                <w:lang w:val="en-GB"/>
              </w:rPr>
            </w:pPr>
            <w:r w:rsidRPr="00F7606D">
              <w:rPr>
                <w:szCs w:val="22"/>
                <w:lang w:val="en-GB"/>
              </w:rPr>
              <w:t>No</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Baseline characteristic similarity</w:t>
            </w:r>
          </w:p>
        </w:tc>
        <w:tc>
          <w:tcPr>
            <w:tcW w:w="5103" w:type="dxa"/>
            <w:tcBorders>
              <w:left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Outcome measures</w:t>
            </w:r>
          </w:p>
        </w:tc>
        <w:tc>
          <w:tcPr>
            <w:tcW w:w="5103" w:type="dxa"/>
            <w:tcBorders>
              <w:left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Withdrawals</w:t>
            </w:r>
          </w:p>
        </w:tc>
        <w:tc>
          <w:tcPr>
            <w:tcW w:w="5103" w:type="dxa"/>
            <w:tcBorders>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21%</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ITT Analysis</w:t>
            </w:r>
          </w:p>
        </w:tc>
        <w:tc>
          <w:tcPr>
            <w:tcW w:w="5103"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8"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Funding</w:t>
            </w:r>
          </w:p>
        </w:tc>
        <w:tc>
          <w:tcPr>
            <w:tcW w:w="5103"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rFonts w:eastAsiaTheme="minorHAnsi" w:cs="OTNEJMQuadraat"/>
                <w:szCs w:val="22"/>
                <w:lang w:val="en-GB" w:eastAsia="en-US"/>
              </w:rPr>
              <w:t>Manufacturer (Biogen Idec)</w:t>
            </w:r>
          </w:p>
        </w:tc>
      </w:tr>
    </w:tbl>
    <w:p w:rsidR="00EA7D99" w:rsidRPr="00F7606D" w:rsidRDefault="00EA7D99" w:rsidP="00EA7D99">
      <w:pPr>
        <w:spacing w:line="240" w:lineRule="auto"/>
        <w:contextualSpacing/>
        <w:rPr>
          <w:b/>
        </w:rPr>
      </w:pPr>
      <w:r w:rsidRPr="00F7606D">
        <w:br w:type="page"/>
      </w:r>
    </w:p>
    <w:p w:rsidR="00EA7D99" w:rsidRPr="00F7606D" w:rsidRDefault="00EA7D99" w:rsidP="00EA7D99">
      <w:pPr>
        <w:pStyle w:val="31"/>
        <w:spacing w:line="240" w:lineRule="auto"/>
        <w:contextualSpacing/>
        <w:jc w:val="both"/>
        <w:rPr>
          <w:szCs w:val="22"/>
          <w:lang w:val="en-GB"/>
        </w:rPr>
      </w:pPr>
      <w:r w:rsidRPr="00F7606D">
        <w:rPr>
          <w:szCs w:val="22"/>
          <w:lang w:val="en-GB"/>
        </w:rPr>
        <w:t>Fingolimod</w:t>
      </w:r>
    </w:p>
    <w:p w:rsidR="00EA7D99" w:rsidRPr="00F7606D" w:rsidRDefault="00EA7D99" w:rsidP="00746324">
      <w:pPr>
        <w:pStyle w:val="41"/>
        <w:numPr>
          <w:ilvl w:val="0"/>
          <w:numId w:val="0"/>
        </w:numPr>
        <w:spacing w:line="240" w:lineRule="auto"/>
        <w:contextualSpacing/>
        <w:rPr>
          <w:lang w:val="en-GB"/>
        </w:rPr>
      </w:pPr>
      <w:r w:rsidRPr="00F7606D">
        <w:rPr>
          <w:rStyle w:val="4Char"/>
          <w:lang w:val="en-GB"/>
        </w:rPr>
        <w:t>FREEDOMS (</w:t>
      </w:r>
      <w:r w:rsidRPr="00F7606D">
        <w:rPr>
          <w:rStyle w:val="4Char"/>
          <w:rFonts w:eastAsiaTheme="minorHAnsi"/>
          <w:lang w:val="en-GB"/>
        </w:rPr>
        <w:t xml:space="preserve">FTY720 Research Evaluating Effects of Daily Oral Therapy in Multiple Sclerosis) </w:t>
      </w:r>
      <w:r w:rsidRPr="00F7606D">
        <w:rPr>
          <w:rStyle w:val="4Char"/>
          <w:lang w:val="en-GB"/>
        </w:rPr>
        <w:t xml:space="preserve">study, Kappos </w:t>
      </w:r>
      <w:r w:rsidR="001E0F19">
        <w:rPr>
          <w:rStyle w:val="4Char"/>
          <w:lang w:val="en-GB"/>
        </w:rPr>
        <w:t>et al.</w:t>
      </w:r>
      <w:r w:rsidRPr="00F7606D">
        <w:rPr>
          <w:rStyle w:val="4Char"/>
          <w:lang w:val="en-GB"/>
        </w:rPr>
        <w:t xml:space="preserve"> </w:t>
      </w:r>
      <w:r w:rsidR="00204467" w:rsidRPr="00F7606D">
        <w:rPr>
          <w:rStyle w:val="4Char"/>
          <w:b/>
          <w:i/>
          <w:lang w:val="en-GB"/>
        </w:rPr>
        <w:fldChar w:fldCharType="begin">
          <w:fldData xml:space="preserve">PEVuZE5vdGU+PENpdGU+PEF1dGhvcj5LYXBwb3M8L0F1dGhvcj48WWVhcj4yMDEwPC9ZZWFyPjxS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</w:fldData>
        </w:fldChar>
      </w:r>
      <w:r w:rsidRPr="00F7606D">
        <w:rPr>
          <w:rStyle w:val="4Char"/>
          <w:lang w:val="en-GB"/>
        </w:rPr>
        <w:instrText xml:space="preserve"> ADDIN EN.CITE </w:instrText>
      </w:r>
      <w:r w:rsidR="00204467" w:rsidRPr="00F7606D">
        <w:rPr>
          <w:rStyle w:val="4Char"/>
          <w:b/>
          <w:i/>
          <w:lang w:val="en-GB"/>
        </w:rPr>
        <w:fldChar w:fldCharType="begin">
          <w:fldData xml:space="preserve">PEVuZE5vdGU+PENpdGU+PEF1dGhvcj5LYXBwb3M8L0F1dGhvcj48WWVhcj4yMDEwPC9ZZWFyPjxS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</w:fldData>
        </w:fldChar>
      </w:r>
      <w:r w:rsidRPr="00F7606D">
        <w:rPr>
          <w:rStyle w:val="4Char"/>
          <w:lang w:val="en-GB"/>
        </w:rPr>
        <w:instrText xml:space="preserve"> ADDIN EN.CITE.DATA </w:instrText>
      </w:r>
      <w:r w:rsidR="00204467" w:rsidRPr="00F7606D">
        <w:rPr>
          <w:rStyle w:val="4Char"/>
          <w:b/>
          <w:i/>
          <w:lang w:val="en-GB"/>
        </w:rPr>
      </w:r>
      <w:r w:rsidR="00204467" w:rsidRPr="00F7606D">
        <w:rPr>
          <w:rStyle w:val="4Char"/>
          <w:b/>
          <w:i/>
          <w:lang w:val="en-GB"/>
        </w:rPr>
        <w:fldChar w:fldCharType="end"/>
      </w:r>
      <w:r w:rsidR="00204467" w:rsidRPr="00F7606D">
        <w:rPr>
          <w:rStyle w:val="4Char"/>
          <w:b/>
          <w:i/>
          <w:lang w:val="en-GB"/>
        </w:rPr>
      </w:r>
      <w:r w:rsidR="00204467" w:rsidRPr="00F7606D">
        <w:rPr>
          <w:rStyle w:val="4Char"/>
          <w:b/>
          <w:i/>
          <w:lang w:val="en-GB"/>
        </w:rPr>
        <w:fldChar w:fldCharType="separate"/>
      </w:r>
      <w:r w:rsidRPr="00F7606D">
        <w:rPr>
          <w:rStyle w:val="4Char"/>
          <w:noProof/>
          <w:lang w:val="en-GB"/>
        </w:rPr>
        <w:t>(</w:t>
      </w:r>
      <w:r w:rsidR="001E0F19">
        <w:rPr>
          <w:rStyle w:val="4Char"/>
          <w:noProof/>
          <w:lang w:val="en-GB"/>
        </w:rPr>
        <w:t>2010</w:t>
      </w:r>
      <w:r w:rsidRPr="00F7606D">
        <w:rPr>
          <w:rStyle w:val="4Char"/>
          <w:noProof/>
          <w:lang w:val="en-GB"/>
        </w:rPr>
        <w:t>)</w:t>
      </w:r>
      <w:r w:rsidR="00204467" w:rsidRPr="00F7606D">
        <w:rPr>
          <w:rStyle w:val="4Char"/>
          <w:b/>
          <w:i/>
          <w:lang w:val="en-GB"/>
        </w:rPr>
        <w:fldChar w:fldCharType="end"/>
      </w:r>
      <w:r w:rsidRPr="00F7606D">
        <w:rPr>
          <w:rStyle w:val="4Char"/>
          <w:lang w:val="en-GB"/>
        </w:rPr>
        <w:t xml:space="preserve">, in </w:t>
      </w:r>
      <w:r w:rsidR="00663354">
        <w:rPr>
          <w:rStyle w:val="4Char"/>
          <w:lang w:val="en-GB"/>
        </w:rPr>
        <w:t>Tran</w:t>
      </w:r>
      <w:r w:rsidRPr="00F7606D">
        <w:rPr>
          <w:rStyle w:val="4Char"/>
          <w:lang w:val="en-GB"/>
        </w:rPr>
        <w:t xml:space="preserve"> et al</w:t>
      </w:r>
      <w:r w:rsidRPr="00F7606D">
        <w:rPr>
          <w:lang w:val="en-GB"/>
        </w:rPr>
        <w:t xml:space="preserve">. </w:t>
      </w:r>
      <w:r w:rsidR="00204467" w:rsidRPr="00F7606D">
        <w:rPr>
          <w:lang w:val="en-GB"/>
        </w:rPr>
        <w:fldChar w:fldCharType="begin"/>
      </w:r>
      <w:r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Pr="00F7606D">
        <w:rPr>
          <w:noProof/>
          <w:lang w:val="en-GB"/>
        </w:rPr>
        <w:t>(</w:t>
      </w:r>
      <w:r w:rsidR="001E0F19">
        <w:rPr>
          <w:noProof/>
          <w:lang w:val="en-GB"/>
        </w:rPr>
        <w:t>2013</w:t>
      </w:r>
      <w:r w:rsidRPr="00F7606D">
        <w:rPr>
          <w:noProof/>
          <w:lang w:val="en-GB"/>
        </w:rPr>
        <w:t>)</w:t>
      </w:r>
      <w:r w:rsidR="00204467" w:rsidRPr="00F7606D">
        <w:rPr>
          <w:lang w:val="en-GB"/>
        </w:rPr>
        <w:fldChar w:fldCharType="end"/>
      </w:r>
    </w:p>
    <w:tbl>
      <w:tblPr>
        <w:tblStyle w:val="afff"/>
        <w:tblW w:w="9351" w:type="dxa"/>
        <w:tblLook w:val="04A0"/>
      </w:tblPr>
      <w:tblGrid>
        <w:gridCol w:w="2687"/>
        <w:gridCol w:w="1559"/>
        <w:gridCol w:w="5105"/>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OTNEJMQuadraat" w:cs="OTNEJMQuadraat"/>
                <w:szCs w:val="22"/>
                <w:lang w:val="en-GB" w:eastAsia="en-US"/>
              </w:rPr>
              <w:t>NCT00289978</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Double-blind, randomized, placebo-controlled trial multi-centre in Australia, Canada, Europe, and South Africa (</w:t>
            </w:r>
            <w:r w:rsidRPr="00F7606D">
              <w:rPr>
                <w:rFonts w:ascii="Georgia" w:eastAsia="OTNEJMQuadraat" w:hAnsi="Georgia" w:cs="OTNEJMQuadraat"/>
                <w:sz w:val="22"/>
                <w:szCs w:val="22"/>
                <w:lang w:val="en-GB"/>
              </w:rPr>
              <w:t>138 centers in 22 countries)</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Eligibility criteria</w:t>
            </w:r>
            <w:r w:rsidRPr="00F7606D">
              <w:rPr>
                <w:rFonts w:ascii="Georgia" w:hAnsi="Georgia"/>
                <w:i/>
                <w:sz w:val="22"/>
                <w:szCs w:val="22"/>
                <w:u w:val="single"/>
                <w:lang w:val="en-GB"/>
              </w:rPr>
              <w:t>:</w:t>
            </w:r>
            <w:r w:rsidRPr="00F7606D">
              <w:rPr>
                <w:rFonts w:ascii="Georgia" w:hAnsi="Georgia"/>
                <w:sz w:val="22"/>
                <w:szCs w:val="22"/>
                <w:lang w:val="en-GB"/>
              </w:rPr>
              <w:t xml:space="preserve"> Age = 18 years to 55 years, diagnosis of RRMS (McDonald criteria), EDSS = 0 to 5.5; ≥ 1 relapse in the previous year or ≥ 2 relapses in the previous 2 years.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Key exclusion criteria</w:t>
            </w:r>
            <w:r w:rsidRPr="00F7606D">
              <w:rPr>
                <w:i/>
                <w:szCs w:val="22"/>
                <w:u w:val="single"/>
                <w:lang w:val="en-GB"/>
              </w:rPr>
              <w:t>:</w:t>
            </w:r>
            <w:r w:rsidRPr="00F7606D">
              <w:rPr>
                <w:szCs w:val="22"/>
                <w:lang w:val="en-GB"/>
              </w:rPr>
              <w:t xml:space="preserve"> Relapse or corticosteroid treatment within 30 days before randomization, active infection, macular edema, diabetes mellitus, immune suppression (drug- or disease-induced), or clinically significant systemic disease.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P641C"/>
                <w:i/>
                <w:szCs w:val="22"/>
                <w:u w:val="single"/>
                <w:lang w:val="en-GB" w:eastAsia="en-US"/>
              </w:rPr>
              <w:t>Baseline characteristics:</w:t>
            </w:r>
            <w:r w:rsidRPr="00F7606D">
              <w:rPr>
                <w:rFonts w:eastAsiaTheme="minorHAnsi" w:cs="AdvP641C"/>
                <w:szCs w:val="22"/>
                <w:lang w:val="en-GB" w:eastAsia="en-US"/>
              </w:rPr>
              <w:t xml:space="preserve"> Age 37+/-9; 70% female; EDSS 2,4+/-1,4</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 xml:space="preserve">Fingolimod oral 0.5 mg q.d. </w:t>
            </w:r>
            <w:r w:rsidRPr="00B4105F">
              <w:rPr>
                <w:rFonts w:ascii="Georgia" w:hAnsi="Georgia"/>
                <w:sz w:val="22"/>
                <w:szCs w:val="22"/>
                <w:lang w:val="pt-PT"/>
              </w:rPr>
              <w:t xml:space="preserve">(n = 425) </w:t>
            </w:r>
          </w:p>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 xml:space="preserve">Fingolimod oral 1,25 mg q.d. </w:t>
            </w:r>
            <w:r w:rsidRPr="00B4105F">
              <w:rPr>
                <w:rFonts w:ascii="Georgia" w:hAnsi="Georgia"/>
                <w:sz w:val="22"/>
                <w:szCs w:val="22"/>
                <w:lang w:val="pt-PT"/>
              </w:rPr>
              <w:t xml:space="preserve">(n = 429)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bCs/>
                <w:sz w:val="22"/>
                <w:szCs w:val="22"/>
                <w:lang w:val="en-GB"/>
              </w:rPr>
              <w:t xml:space="preserve">Placebo </w:t>
            </w:r>
            <w:r w:rsidRPr="00F7606D">
              <w:rPr>
                <w:rFonts w:ascii="Georgia" w:hAnsi="Georgia"/>
                <w:sz w:val="22"/>
                <w:szCs w:val="22"/>
                <w:lang w:val="en-GB"/>
              </w:rPr>
              <w:t xml:space="preserve">(n = 418)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w:t>
            </w:r>
            <w:r w:rsidRPr="00F7606D">
              <w:rPr>
                <w:rFonts w:ascii="Georgia" w:hAnsi="Georgia"/>
                <w:sz w:val="22"/>
                <w:szCs w:val="22"/>
                <w:u w:val="single"/>
                <w:lang w:val="en-GB"/>
              </w:rPr>
              <w:t>:</w:t>
            </w:r>
            <w:r w:rsidRPr="00F7606D">
              <w:rPr>
                <w:rFonts w:ascii="Georgia" w:hAnsi="Georgia"/>
                <w:sz w:val="22"/>
                <w:szCs w:val="22"/>
                <w:lang w:val="en-GB"/>
              </w:rPr>
              <w:t xml:space="preserve"> Annualized relapse rate.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Secondary endpoints</w:t>
            </w:r>
            <w:r w:rsidRPr="00F7606D">
              <w:rPr>
                <w:szCs w:val="22"/>
                <w:u w:val="single"/>
                <w:lang w:val="en-GB"/>
              </w:rPr>
              <w:t>:</w:t>
            </w:r>
            <w:r w:rsidRPr="00F7606D">
              <w:rPr>
                <w:szCs w:val="22"/>
                <w:lang w:val="en-GB"/>
              </w:rPr>
              <w:t xml:space="preserve"> Disability progression, time to a first relapse, EDSS change, MSFC change, different MRI outcomes.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szCs w:val="22"/>
                <w:u w:val="single"/>
                <w:lang w:val="en-GB"/>
              </w:rPr>
              <w:t>Definitions used for endpoints:</w:t>
            </w:r>
            <w:r w:rsidRPr="00F7606D">
              <w:rPr>
                <w:szCs w:val="22"/>
                <w:lang w:val="en-GB"/>
              </w:rPr>
              <w:t xml:space="preserve"> </w:t>
            </w:r>
            <w:r w:rsidRPr="00F7606D">
              <w:rPr>
                <w:i/>
                <w:iCs/>
                <w:szCs w:val="22"/>
                <w:u w:val="single"/>
                <w:lang w:val="en-GB"/>
              </w:rPr>
              <w:t>Relapses</w:t>
            </w:r>
            <w:r w:rsidRPr="00F7606D">
              <w:rPr>
                <w:szCs w:val="22"/>
                <w:u w:val="single"/>
                <w:lang w:val="en-GB"/>
              </w:rPr>
              <w:t>:</w:t>
            </w:r>
            <w:r w:rsidRPr="00F7606D">
              <w:rPr>
                <w:szCs w:val="22"/>
                <w:lang w:val="en-GB"/>
              </w:rPr>
              <w:t xml:space="preserve"> A confirmed relapse constituted symptoms that must have been accompanied by an increase of at least half a point in the EDSS score, of 1 point in each of two EDSS functional system scores, or of 2 points in one EDSS functional system score (excluding scores for the bowel-bladder or cerebral functional systems).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i/>
                <w:iCs/>
                <w:szCs w:val="22"/>
                <w:u w:val="single"/>
                <w:lang w:val="en-GB"/>
              </w:rPr>
              <w:t>Disability progression</w:t>
            </w:r>
            <w:r w:rsidRPr="00F7606D">
              <w:rPr>
                <w:szCs w:val="22"/>
                <w:u w:val="single"/>
                <w:lang w:val="en-GB"/>
              </w:rPr>
              <w:t>:</w:t>
            </w:r>
            <w:r w:rsidRPr="00F7606D">
              <w:rPr>
                <w:szCs w:val="22"/>
                <w:lang w:val="en-GB"/>
              </w:rPr>
              <w:t xml:space="preserve"> An increase of 1 point in the EDSS score (or half a point if the baseline EDSS score was equal to 5.5), confirmed after 3 months, with an absence of relapse at the time of assessment and with all EDSS scores measured during that time meeting the criteria for disability progression.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2 years</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autoSpaceDE w:val="0"/>
              <w:autoSpaceDN w:val="0"/>
              <w:adjustRightInd w:val="0"/>
              <w:spacing w:line="240" w:lineRule="auto"/>
              <w:contextualSpacing/>
              <w:jc w:val="both"/>
              <w:rPr>
                <w:rFonts w:cs="TimesNewRomanPSMT"/>
                <w:szCs w:val="22"/>
                <w:lang w:val="en-GB"/>
              </w:rPr>
            </w:pPr>
            <w:r w:rsidRPr="00F7606D">
              <w:rPr>
                <w:rFonts w:cs="TimesNewRomanPSMT"/>
                <w:szCs w:val="22"/>
                <w:lang w:val="en-GB"/>
              </w:rPr>
              <w:t>Mixed (based on reported baseline characteristics)</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Randomization</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Allocation concealment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Double-blinding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Baseline characteristic similarity</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 measures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Withdrawals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19%</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ITT Analysis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Funding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Manufacturer</w:t>
            </w:r>
          </w:p>
        </w:tc>
      </w:tr>
    </w:tbl>
    <w:p w:rsidR="00EA7D99" w:rsidRPr="00F7606D" w:rsidRDefault="00EA7D99" w:rsidP="00EA7D99">
      <w:pPr>
        <w:spacing w:line="240" w:lineRule="auto"/>
        <w:contextualSpacing/>
        <w:jc w:val="both"/>
      </w:pPr>
    </w:p>
    <w:p w:rsidR="00EA7D99" w:rsidRPr="00F7606D" w:rsidRDefault="00EA7D99" w:rsidP="00EA7D99">
      <w:pPr>
        <w:spacing w:after="160" w:line="240" w:lineRule="auto"/>
        <w:contextualSpacing/>
      </w:pPr>
      <w:r w:rsidRPr="00F7606D">
        <w:br w:type="page"/>
      </w:r>
    </w:p>
    <w:p w:rsidR="00EA7D99" w:rsidRPr="00F7606D" w:rsidRDefault="00EA7D99" w:rsidP="00746324">
      <w:pPr>
        <w:pStyle w:val="41"/>
        <w:numPr>
          <w:ilvl w:val="0"/>
          <w:numId w:val="0"/>
        </w:numPr>
        <w:spacing w:line="240" w:lineRule="auto"/>
        <w:contextualSpacing/>
        <w:rPr>
          <w:lang w:val="en-GB"/>
        </w:rPr>
      </w:pPr>
      <w:r w:rsidRPr="00F7606D">
        <w:rPr>
          <w:lang w:val="en-GB"/>
        </w:rPr>
        <w:t>TRANSFORMS (</w:t>
      </w:r>
      <w:r w:rsidRPr="00F7606D">
        <w:rPr>
          <w:rFonts w:eastAsiaTheme="minorHAnsi" w:cs="OTNEJMScalaSansLF"/>
          <w:lang w:val="en-GB" w:eastAsia="en-US"/>
        </w:rPr>
        <w:t xml:space="preserve">Trial Assessing Injectable Interferon versus FTY720 Oral in Relapsing–Remitting Multiple Sclerosis) </w:t>
      </w:r>
      <w:r w:rsidRPr="00F7606D">
        <w:rPr>
          <w:lang w:val="en-GB"/>
        </w:rPr>
        <w:t xml:space="preserve">study; Cohen et al. </w:t>
      </w:r>
      <w:r w:rsidR="001E0F19">
        <w:rPr>
          <w:lang w:val="en-GB"/>
        </w:rPr>
        <w:t>(</w:t>
      </w:r>
      <w:r w:rsidRPr="00F7606D">
        <w:rPr>
          <w:lang w:val="en-GB"/>
        </w:rPr>
        <w:t>2010</w:t>
      </w:r>
      <w:r w:rsidR="001E0F19">
        <w:rPr>
          <w:lang w:val="en-GB"/>
        </w:rPr>
        <w:t>)</w:t>
      </w:r>
      <w:r w:rsidRPr="00F7606D">
        <w:rPr>
          <w:lang w:val="en-GB"/>
        </w:rPr>
        <w:t xml:space="preserve">, in </w:t>
      </w:r>
      <w:r w:rsidR="00663354">
        <w:rPr>
          <w:lang w:val="en-GB"/>
        </w:rPr>
        <w:t>Tran</w:t>
      </w:r>
      <w:r w:rsidRPr="00F7606D">
        <w:rPr>
          <w:lang w:val="en-GB"/>
        </w:rPr>
        <w:t xml:space="preserve"> et al. </w:t>
      </w:r>
      <w:r w:rsidR="00204467" w:rsidRPr="00F7606D">
        <w:rPr>
          <w:lang w:val="en-GB"/>
        </w:rPr>
        <w:fldChar w:fldCharType="begin"/>
      </w:r>
      <w:r w:rsidR="001E0F19"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001E0F19" w:rsidRPr="00F7606D">
        <w:rPr>
          <w:noProof/>
          <w:lang w:val="en-GB"/>
        </w:rPr>
        <w:t>(</w:t>
      </w:r>
      <w:r w:rsidR="001E0F19">
        <w:rPr>
          <w:noProof/>
          <w:lang w:val="en-GB"/>
        </w:rPr>
        <w:t>2013</w:t>
      </w:r>
      <w:r w:rsidR="001E0F19" w:rsidRPr="00F7606D">
        <w:rPr>
          <w:noProof/>
          <w:lang w:val="en-GB"/>
        </w:rPr>
        <w:t>)</w:t>
      </w:r>
      <w:r w:rsidR="00204467" w:rsidRPr="00F7606D">
        <w:rPr>
          <w:lang w:val="en-GB"/>
        </w:rPr>
        <w:fldChar w:fldCharType="end"/>
      </w:r>
    </w:p>
    <w:tbl>
      <w:tblPr>
        <w:tblStyle w:val="afff"/>
        <w:tblW w:w="9351" w:type="dxa"/>
        <w:tblLook w:val="04A0"/>
      </w:tblPr>
      <w:tblGrid>
        <w:gridCol w:w="2687"/>
        <w:gridCol w:w="1559"/>
        <w:gridCol w:w="5105"/>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OTNEJMQuadraat" w:cs="OTNEJMQuadraat"/>
                <w:szCs w:val="22"/>
                <w:lang w:val="en-GB" w:eastAsia="en-US"/>
              </w:rPr>
              <w:t>NCT00340834</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 xml:space="preserve">Double-blind, randomized controlled trial. 172 centres in 18 countries including Canada, Australia, Europe, and US.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Eligibility criteria</w:t>
            </w:r>
            <w:r w:rsidRPr="00F7606D">
              <w:rPr>
                <w:rFonts w:ascii="Georgia" w:hAnsi="Georgia"/>
                <w:i/>
                <w:sz w:val="22"/>
                <w:szCs w:val="22"/>
                <w:lang w:val="en-GB"/>
              </w:rPr>
              <w:t>:</w:t>
            </w:r>
            <w:r w:rsidRPr="00F7606D">
              <w:rPr>
                <w:rFonts w:ascii="Georgia" w:hAnsi="Georgia"/>
                <w:sz w:val="22"/>
                <w:szCs w:val="22"/>
                <w:lang w:val="en-GB"/>
              </w:rPr>
              <w:t xml:space="preserve"> Age = 18 years to 55 years; diagnosis of RRMS (McDonald criteria), EDSS = 0 to 5.5; had ≥ 1 relapse during the previous year or ≥ 2 relapses during the previous 2 years.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Key exclusion criteria</w:t>
            </w:r>
            <w:r w:rsidRPr="00F7606D">
              <w:rPr>
                <w:i/>
                <w:szCs w:val="22"/>
                <w:u w:val="single"/>
                <w:lang w:val="en-GB"/>
              </w:rPr>
              <w:t>:</w:t>
            </w:r>
            <w:r w:rsidRPr="00F7606D">
              <w:rPr>
                <w:szCs w:val="22"/>
                <w:lang w:val="en-GB"/>
              </w:rPr>
              <w:t xml:space="preserve"> Documented relapse or corticosteroid treatment within 30 days before randomization; active infection, macular edema, immunosuppression, and clinically significant coexisting systemic disease.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AGaramond-R"/>
                <w:i/>
                <w:color w:val="231F20"/>
                <w:szCs w:val="22"/>
                <w:u w:val="single"/>
                <w:lang w:val="en-GB" w:eastAsia="en-US"/>
              </w:rPr>
              <w:t>Baseline characteristics:</w:t>
            </w:r>
            <w:r w:rsidRPr="00F7606D">
              <w:rPr>
                <w:rFonts w:eastAsiaTheme="minorHAnsi" w:cs="AdvAGaramond-R"/>
                <w:color w:val="231F20"/>
                <w:szCs w:val="22"/>
                <w:lang w:val="en-GB" w:eastAsia="en-US"/>
              </w:rPr>
              <w:t xml:space="preserve"> Age: 36+/-9; 67% female; EDSS: 2.2 +/-1.3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 xml:space="preserve">Fingolimod oral 0.5 mg q.d. </w:t>
            </w:r>
            <w:r w:rsidRPr="00B4105F">
              <w:rPr>
                <w:rFonts w:ascii="Georgia" w:hAnsi="Georgia"/>
                <w:sz w:val="22"/>
                <w:szCs w:val="22"/>
                <w:lang w:val="pt-PT"/>
              </w:rPr>
              <w:t>(n=431)</w:t>
            </w:r>
          </w:p>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Fingolimod oral 1.25 mg q.d. (n=426)</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 xml:space="preserve">Interferon beta-1a 30 mcg IM q.w. </w:t>
            </w:r>
            <w:r w:rsidRPr="00B4105F">
              <w:rPr>
                <w:rFonts w:ascii="Georgia" w:hAnsi="Georgia"/>
                <w:sz w:val="22"/>
                <w:szCs w:val="22"/>
                <w:lang w:val="pt-PT"/>
              </w:rPr>
              <w:t>(n=</w:t>
            </w:r>
            <w:r w:rsidRPr="00B4105F">
              <w:rPr>
                <w:rFonts w:ascii="Georgia" w:hAnsi="Georgia"/>
                <w:bCs/>
                <w:sz w:val="22"/>
                <w:szCs w:val="22"/>
                <w:lang w:val="pt-PT"/>
              </w:rPr>
              <w:t>435</w:t>
            </w:r>
            <w:r w:rsidRPr="00B4105F">
              <w:rPr>
                <w:rFonts w:ascii="Georgia" w:hAnsi="Georgia"/>
                <w:sz w:val="22"/>
                <w:szCs w:val="22"/>
                <w:lang w:val="pt-PT"/>
              </w:rPr>
              <w:t>)</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w:t>
            </w:r>
            <w:r w:rsidRPr="00F7606D">
              <w:rPr>
                <w:rFonts w:ascii="Georgia" w:hAnsi="Georgia"/>
                <w:sz w:val="22"/>
                <w:szCs w:val="22"/>
                <w:u w:val="single"/>
                <w:lang w:val="en-GB"/>
              </w:rPr>
              <w:t>:</w:t>
            </w:r>
            <w:r w:rsidRPr="00F7606D">
              <w:rPr>
                <w:rFonts w:ascii="Georgia" w:hAnsi="Georgia"/>
                <w:sz w:val="22"/>
                <w:szCs w:val="22"/>
                <w:lang w:val="en-GB"/>
              </w:rPr>
              <w:t xml:space="preserve"> Annualized relapse rate.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Secondary endpoints</w:t>
            </w:r>
            <w:r w:rsidRPr="00F7606D">
              <w:rPr>
                <w:szCs w:val="22"/>
                <w:u w:val="single"/>
                <w:lang w:val="en-GB"/>
              </w:rPr>
              <w:t>:</w:t>
            </w:r>
            <w:r w:rsidRPr="00F7606D">
              <w:rPr>
                <w:szCs w:val="22"/>
                <w:lang w:val="en-GB"/>
              </w:rPr>
              <w:t xml:space="preserve"> Number of new or enlarged T2-hyperintense lesions, time to confirmed disability progression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Cs/>
                <w:sz w:val="22"/>
                <w:szCs w:val="22"/>
                <w:u w:val="single"/>
                <w:lang w:val="en-GB"/>
              </w:rPr>
              <w:t>Definitions used for endpoints:</w:t>
            </w:r>
            <w:r w:rsidRPr="00F7606D">
              <w:rPr>
                <w:rFonts w:ascii="Georgia" w:hAnsi="Georgia"/>
                <w:i/>
                <w:iCs/>
                <w:sz w:val="22"/>
                <w:szCs w:val="22"/>
                <w:lang w:val="en-GB"/>
              </w:rPr>
              <w:t xml:space="preserve"> </w:t>
            </w:r>
            <w:r w:rsidRPr="00F7606D">
              <w:rPr>
                <w:rFonts w:ascii="Georgia" w:hAnsi="Georgia"/>
                <w:i/>
                <w:iCs/>
                <w:sz w:val="22"/>
                <w:szCs w:val="22"/>
                <w:u w:val="single"/>
                <w:lang w:val="en-GB"/>
              </w:rPr>
              <w:t>Relapses</w:t>
            </w:r>
            <w:r w:rsidRPr="00F7606D">
              <w:rPr>
                <w:rFonts w:ascii="Georgia" w:hAnsi="Georgia"/>
                <w:sz w:val="22"/>
                <w:szCs w:val="22"/>
                <w:u w:val="single"/>
                <w:lang w:val="en-GB"/>
              </w:rPr>
              <w:t>:</w:t>
            </w:r>
            <w:r w:rsidRPr="00F7606D">
              <w:rPr>
                <w:rFonts w:ascii="Georgia" w:hAnsi="Georgia"/>
                <w:sz w:val="22"/>
                <w:szCs w:val="22"/>
                <w:lang w:val="en-GB"/>
              </w:rPr>
              <w:t xml:space="preserve"> New, worsening, or recurrent neurologic symptoms that occurred at least 30 days after the onset of preceding relapse, that lasted at least 24 hours without fever or infection.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Disability progression</w:t>
            </w:r>
            <w:r w:rsidRPr="00F7606D">
              <w:rPr>
                <w:szCs w:val="22"/>
                <w:u w:val="single"/>
                <w:lang w:val="en-GB"/>
              </w:rPr>
              <w:t>:</w:t>
            </w:r>
            <w:r w:rsidRPr="00F7606D">
              <w:rPr>
                <w:szCs w:val="22"/>
                <w:lang w:val="en-GB"/>
              </w:rPr>
              <w:t xml:space="preserve"> A one-point increase in the EDSS score (or a half-point increase for patients with a baseline score ≥ 5.5) that was confirmed 3 months later in the absence of relapse.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1 year</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Mixed (based on reported baseline characteristics)</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Randomization</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Allocation concealment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Double-blinding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Baseline characteristic similarity</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 measures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Withdrawals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11%</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ITT Analysis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Funding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Manufacturer</w:t>
            </w:r>
          </w:p>
        </w:tc>
      </w:tr>
    </w:tbl>
    <w:p w:rsidR="00EA7D99" w:rsidRPr="00F7606D" w:rsidRDefault="00EA7D99" w:rsidP="00EA7D99">
      <w:pPr>
        <w:spacing w:after="160" w:line="240" w:lineRule="auto"/>
        <w:contextualSpacing/>
        <w:rPr>
          <w:b/>
        </w:rPr>
      </w:pPr>
    </w:p>
    <w:p w:rsidR="00EA7D99" w:rsidRPr="00F7606D" w:rsidRDefault="00EA7D99" w:rsidP="00EA7D99">
      <w:pPr>
        <w:spacing w:after="160" w:line="240" w:lineRule="auto"/>
        <w:contextualSpacing/>
      </w:pPr>
    </w:p>
    <w:p w:rsidR="00EA7D99" w:rsidRPr="00F7606D" w:rsidRDefault="00EA7D99" w:rsidP="00746324">
      <w:pPr>
        <w:pStyle w:val="41"/>
        <w:numPr>
          <w:ilvl w:val="0"/>
          <w:numId w:val="0"/>
        </w:numPr>
        <w:spacing w:line="240" w:lineRule="auto"/>
        <w:contextualSpacing/>
        <w:rPr>
          <w:b w:val="0"/>
          <w:szCs w:val="22"/>
          <w:lang w:val="en-GB"/>
        </w:rPr>
      </w:pPr>
      <w:r w:rsidRPr="00F7606D">
        <w:rPr>
          <w:szCs w:val="22"/>
          <w:lang w:val="en-GB"/>
        </w:rPr>
        <w:t xml:space="preserve">Saida et al. </w:t>
      </w:r>
      <w:r w:rsidR="001E0F19">
        <w:rPr>
          <w:szCs w:val="22"/>
          <w:lang w:val="en-GB"/>
        </w:rPr>
        <w:t>(</w:t>
      </w:r>
      <w:r w:rsidRPr="00F7606D">
        <w:rPr>
          <w:szCs w:val="22"/>
          <w:lang w:val="en-GB"/>
        </w:rPr>
        <w:t>2012</w:t>
      </w:r>
      <w:r w:rsidR="001E0F19">
        <w:rPr>
          <w:szCs w:val="22"/>
          <w:lang w:val="en-GB"/>
        </w:rPr>
        <w:t>)</w:t>
      </w:r>
      <w:r w:rsidRPr="00F7606D">
        <w:rPr>
          <w:szCs w:val="22"/>
          <w:lang w:val="en-GB"/>
        </w:rPr>
        <w:t xml:space="preserve">, included in </w:t>
      </w:r>
      <w:r w:rsidR="00663354">
        <w:rPr>
          <w:szCs w:val="22"/>
          <w:lang w:val="en-GB"/>
        </w:rPr>
        <w:t>Tran</w:t>
      </w:r>
      <w:r w:rsidRPr="00F7606D">
        <w:rPr>
          <w:szCs w:val="22"/>
          <w:lang w:val="en-GB"/>
        </w:rPr>
        <w:t xml:space="preserve"> et al. </w:t>
      </w:r>
      <w:r w:rsidR="00204467" w:rsidRPr="00F7606D">
        <w:rPr>
          <w:lang w:val="en-GB"/>
        </w:rPr>
        <w:fldChar w:fldCharType="begin"/>
      </w:r>
      <w:r w:rsidR="001E0F19"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001E0F19" w:rsidRPr="00F7606D">
        <w:rPr>
          <w:noProof/>
          <w:lang w:val="en-GB"/>
        </w:rPr>
        <w:t>(</w:t>
      </w:r>
      <w:r w:rsidR="001E0F19">
        <w:rPr>
          <w:noProof/>
          <w:lang w:val="en-GB"/>
        </w:rPr>
        <w:t>2013</w:t>
      </w:r>
      <w:r w:rsidR="001E0F19" w:rsidRPr="00F7606D">
        <w:rPr>
          <w:noProof/>
          <w:lang w:val="en-GB"/>
        </w:rPr>
        <w:t>)</w:t>
      </w:r>
      <w:r w:rsidR="00204467" w:rsidRPr="00F7606D">
        <w:rPr>
          <w:lang w:val="en-GB"/>
        </w:rPr>
        <w:fldChar w:fldCharType="end"/>
      </w:r>
    </w:p>
    <w:tbl>
      <w:tblPr>
        <w:tblStyle w:val="afff"/>
        <w:tblW w:w="9351" w:type="dxa"/>
        <w:tblLook w:val="04A0"/>
      </w:tblPr>
      <w:tblGrid>
        <w:gridCol w:w="2687"/>
        <w:gridCol w:w="1559"/>
        <w:gridCol w:w="5105"/>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cs="TimesNewRoman"/>
                <w:szCs w:val="22"/>
                <w:lang w:val="en-GB" w:eastAsia="en-US"/>
              </w:rPr>
              <w:t>NCT00537082</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Double-blind, randomized controlled trial. Multicentre in Japan</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Eligibility criteria</w:t>
            </w:r>
            <w:r w:rsidRPr="00F7606D">
              <w:rPr>
                <w:rFonts w:ascii="Georgia" w:hAnsi="Georgia"/>
                <w:sz w:val="22"/>
                <w:szCs w:val="22"/>
                <w:u w:val="single"/>
                <w:lang w:val="en-GB"/>
              </w:rPr>
              <w:t>:</w:t>
            </w:r>
            <w:r w:rsidRPr="00F7606D">
              <w:rPr>
                <w:rFonts w:ascii="Georgia" w:hAnsi="Georgia"/>
                <w:sz w:val="22"/>
                <w:szCs w:val="22"/>
                <w:lang w:val="en-GB"/>
              </w:rPr>
              <w:t xml:space="preserve"> Age = 18 years to 60 years, diagnosis of RRMS (McDonald criteria), EDSS = 0 to 6.0; had ≥ 1 relapse in the previous year or ≥ 2 relapses in the previous 2 years; ≥ 1 gadolinium-enhancing lesion within 30 days before study commencement.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rial"/>
                <w:i/>
                <w:iCs/>
                <w:color w:val="000000"/>
                <w:szCs w:val="22"/>
                <w:u w:val="single"/>
                <w:lang w:val="en-GB" w:eastAsia="en-US"/>
              </w:rPr>
              <w:t>Key exclusion criteria</w:t>
            </w:r>
            <w:r w:rsidRPr="00F7606D">
              <w:rPr>
                <w:rFonts w:eastAsiaTheme="minorHAnsi" w:cs="Arial"/>
                <w:color w:val="000000"/>
                <w:szCs w:val="22"/>
                <w:u w:val="single"/>
                <w:lang w:val="en-GB" w:eastAsia="en-US"/>
              </w:rPr>
              <w:t>:</w:t>
            </w:r>
            <w:r w:rsidRPr="00F7606D">
              <w:rPr>
                <w:rFonts w:eastAsiaTheme="minorHAnsi" w:cs="Arial"/>
                <w:color w:val="000000"/>
                <w:szCs w:val="22"/>
                <w:lang w:val="en-GB" w:eastAsia="en-US"/>
              </w:rPr>
              <w:t xml:space="preserve"> Primary-progressive MS; relapse or corticosteroid treatment within 30 days before randomization; malignancy, macular edema, diabetes mellitus, active infection, immunosuppression, or significant systemic disease; received cladribine, cyclophosphamide, mitoxantrone, or other immunosuppressive or immunoglobulin medication in the six months before randomization, or had plasmapheresis immunoadsorption or IFN beta therapy in the three months before randomization.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AGaramond-R"/>
                <w:i/>
                <w:color w:val="231F20"/>
                <w:szCs w:val="22"/>
                <w:u w:val="single"/>
                <w:lang w:val="en-GB" w:eastAsia="en-US"/>
              </w:rPr>
              <w:t>Baseline characteristics</w:t>
            </w:r>
            <w:r w:rsidRPr="00F7606D">
              <w:rPr>
                <w:rFonts w:eastAsiaTheme="minorHAnsi" w:cs="AdvAGaramond-R"/>
                <w:i/>
                <w:color w:val="231F20"/>
                <w:szCs w:val="22"/>
                <w:lang w:val="en-GB" w:eastAsia="en-US"/>
              </w:rPr>
              <w:t>:</w:t>
            </w:r>
            <w:r w:rsidRPr="00F7606D">
              <w:rPr>
                <w:rFonts w:eastAsiaTheme="minorHAnsi" w:cs="AdvAGaramond-R"/>
                <w:color w:val="231F20"/>
                <w:szCs w:val="22"/>
                <w:lang w:val="en-GB" w:eastAsia="en-US"/>
              </w:rPr>
              <w:t xml:space="preserve"> Age: 35 +/-9; 69% female; EDSS: 2.1 +/- 1.8</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Fingolimod oral 0.5 mg q.d. (n=57)</w:t>
            </w:r>
          </w:p>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 xml:space="preserve">Fingolimod oral 1.25 mg q.d. </w:t>
            </w:r>
            <w:r w:rsidRPr="00B4105F">
              <w:rPr>
                <w:rFonts w:ascii="Georgia" w:hAnsi="Georgia"/>
                <w:sz w:val="22"/>
                <w:szCs w:val="22"/>
                <w:lang w:val="pt-PT"/>
              </w:rPr>
              <w:t>(n=57)</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bCs/>
                <w:sz w:val="22"/>
                <w:szCs w:val="22"/>
                <w:lang w:val="en-GB"/>
              </w:rPr>
              <w:t>Placebo (n=57)</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Primary endpoint</w:t>
            </w:r>
            <w:r w:rsidRPr="00F7606D">
              <w:rPr>
                <w:szCs w:val="22"/>
                <w:u w:val="single"/>
                <w:lang w:val="en-GB"/>
              </w:rPr>
              <w:t>:</w:t>
            </w:r>
            <w:r w:rsidRPr="00F7606D">
              <w:rPr>
                <w:szCs w:val="22"/>
                <w:lang w:val="en-GB"/>
              </w:rPr>
              <w:t xml:space="preserve"> Percentage of patients free from </w:t>
            </w:r>
            <w:r w:rsidRPr="00F7606D">
              <w:rPr>
                <w:rFonts w:eastAsiaTheme="minorHAnsi" w:cs="TimesNewRoman"/>
                <w:szCs w:val="22"/>
                <w:lang w:val="en-GB" w:eastAsia="en-US"/>
              </w:rPr>
              <w:t>gadolinium enhanced</w:t>
            </w:r>
            <w:r w:rsidRPr="00F7606D">
              <w:rPr>
                <w:szCs w:val="22"/>
                <w:lang w:val="en-GB"/>
              </w:rPr>
              <w:t xml:space="preserve"> lesions at 3 and 6 months.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Secondary endpoints</w:t>
            </w:r>
            <w:r w:rsidRPr="00F7606D">
              <w:rPr>
                <w:szCs w:val="22"/>
                <w:u w:val="single"/>
                <w:lang w:val="en-GB"/>
              </w:rPr>
              <w:t>:</w:t>
            </w:r>
            <w:r w:rsidRPr="00F7606D">
              <w:rPr>
                <w:szCs w:val="22"/>
                <w:lang w:val="en-GB"/>
              </w:rPr>
              <w:t xml:space="preserve"> Percentage of patients free from relapse over 6 months, annualized relapse rate, and other MRI outcomes.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szCs w:val="22"/>
                <w:lang w:val="en-GB"/>
              </w:rPr>
              <w:t>Definitions not reported</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6 months</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Unclear (inadequate information to characterise)</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Randomization</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Insufficient reporting</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Allocation concealment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Not reporting</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Double-blinding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Baseline characteristic similarity</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 measures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Withdrawals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14%</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ITT Analysis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Funding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Manufacturer</w:t>
            </w:r>
          </w:p>
        </w:tc>
      </w:tr>
    </w:tbl>
    <w:p w:rsidR="00EA7D99" w:rsidRPr="00F7606D" w:rsidRDefault="00EA7D99" w:rsidP="00EA7D99">
      <w:pPr>
        <w:spacing w:after="160" w:line="240" w:lineRule="auto"/>
        <w:contextualSpacing/>
        <w:rPr>
          <w:b/>
        </w:rPr>
      </w:pPr>
    </w:p>
    <w:p w:rsidR="00EA7D99" w:rsidRPr="00F7606D" w:rsidRDefault="00EA7D99" w:rsidP="00EA7D99">
      <w:pPr>
        <w:spacing w:after="160" w:line="240" w:lineRule="auto"/>
        <w:contextualSpacing/>
        <w:rPr>
          <w:b/>
        </w:rPr>
      </w:pPr>
    </w:p>
    <w:p w:rsidR="00EA7D99" w:rsidRPr="00F7606D" w:rsidRDefault="00EA7D99" w:rsidP="00746324">
      <w:pPr>
        <w:pStyle w:val="41"/>
        <w:numPr>
          <w:ilvl w:val="0"/>
          <w:numId w:val="0"/>
        </w:numPr>
        <w:spacing w:line="240" w:lineRule="auto"/>
        <w:contextualSpacing/>
        <w:rPr>
          <w:szCs w:val="22"/>
          <w:lang w:val="en-GB"/>
        </w:rPr>
      </w:pPr>
      <w:r w:rsidRPr="00F7606D">
        <w:rPr>
          <w:szCs w:val="22"/>
          <w:lang w:val="en-GB"/>
        </w:rPr>
        <w:t>FREEDOMS II- study</w:t>
      </w:r>
      <w:r w:rsidR="001E0F19">
        <w:rPr>
          <w:szCs w:val="22"/>
          <w:lang w:val="en-GB"/>
        </w:rPr>
        <w:t>, Calabresi et al. (2014)</w:t>
      </w:r>
      <w:r w:rsidRPr="00F7606D">
        <w:rPr>
          <w:szCs w:val="22"/>
          <w:lang w:val="en-GB"/>
        </w:rPr>
        <w:t xml:space="preserve"> </w:t>
      </w:r>
      <w:r w:rsidR="00204467" w:rsidRPr="00F7606D">
        <w:rPr>
          <w:szCs w:val="22"/>
          <w:lang w:val="en-GB"/>
        </w:rPr>
        <w:fldChar w:fldCharType="begin">
          <w:fldData xml:space="preserve">PEVuZE5vdGU+PENpdGU+PEF1dGhvcj5DYWxhYnJlc2k8L0F1dGhvcj48WWVhcj4yMDE0PC9ZZWFy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</w:fldData>
        </w:fldChar>
      </w:r>
      <w:r w:rsidRPr="00F7606D">
        <w:rPr>
          <w:szCs w:val="22"/>
          <w:lang w:val="en-GB"/>
        </w:rPr>
        <w:instrText xml:space="preserve"> ADDIN EN.CITE </w:instrText>
      </w:r>
      <w:r w:rsidR="00204467" w:rsidRPr="00F7606D">
        <w:rPr>
          <w:szCs w:val="22"/>
          <w:lang w:val="en-GB"/>
        </w:rPr>
        <w:fldChar w:fldCharType="begin">
          <w:fldData xml:space="preserve">PEVuZE5vdGU+PENpdGU+PEF1dGhvcj5DYWxhYnJlc2k8L0F1dGhvcj48WWVhcj4yMDE0PC9ZZWFy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</w:fldData>
        </w:fldChar>
      </w:r>
      <w:r w:rsidRPr="00F7606D">
        <w:rPr>
          <w:szCs w:val="22"/>
          <w:lang w:val="en-GB"/>
        </w:rPr>
        <w:instrText xml:space="preserve"> ADDIN EN.CITE.DATA </w:instrText>
      </w:r>
      <w:r w:rsidR="00204467" w:rsidRPr="00F7606D">
        <w:rPr>
          <w:szCs w:val="22"/>
          <w:lang w:val="en-GB"/>
        </w:rPr>
      </w:r>
      <w:r w:rsidR="00204467" w:rsidRPr="00F7606D">
        <w:rPr>
          <w:szCs w:val="22"/>
          <w:lang w:val="en-GB"/>
        </w:rPr>
        <w:fldChar w:fldCharType="end"/>
      </w:r>
      <w:r w:rsidR="00204467" w:rsidRPr="00F7606D">
        <w:rPr>
          <w:szCs w:val="22"/>
          <w:lang w:val="en-GB"/>
        </w:rPr>
      </w:r>
      <w:r w:rsidR="00204467" w:rsidRPr="00F7606D">
        <w:rPr>
          <w:szCs w:val="22"/>
          <w:lang w:val="en-GB"/>
        </w:rPr>
        <w:fldChar w:fldCharType="separate"/>
      </w:r>
      <w:r w:rsidRPr="00F7606D">
        <w:rPr>
          <w:noProof/>
          <w:szCs w:val="22"/>
          <w:lang w:val="en-GB"/>
        </w:rPr>
        <w:t>)</w:t>
      </w:r>
      <w:r w:rsidR="00204467" w:rsidRPr="00F7606D">
        <w:rPr>
          <w:szCs w:val="22"/>
          <w:lang w:val="en-GB"/>
        </w:rPr>
        <w:fldChar w:fldCharType="end"/>
      </w:r>
      <w:r w:rsidRPr="00F7606D">
        <w:rPr>
          <w:szCs w:val="22"/>
          <w:lang w:val="en-GB"/>
        </w:rPr>
        <w:t xml:space="preserve">, not included in </w:t>
      </w:r>
      <w:r w:rsidR="00663354">
        <w:rPr>
          <w:szCs w:val="22"/>
          <w:lang w:val="en-GB"/>
        </w:rPr>
        <w:t>Tran</w:t>
      </w:r>
      <w:r w:rsidRPr="00F7606D">
        <w:rPr>
          <w:szCs w:val="22"/>
          <w:lang w:val="en-GB"/>
        </w:rPr>
        <w:t xml:space="preserve"> et al.</w:t>
      </w:r>
      <w:r w:rsidR="001E0F19" w:rsidRPr="001E0F19">
        <w:rPr>
          <w:lang w:val="en-GB"/>
        </w:rPr>
        <w:t xml:space="preserve"> </w:t>
      </w:r>
      <w:r w:rsidR="00204467" w:rsidRPr="00F7606D">
        <w:rPr>
          <w:lang w:val="en-GB"/>
        </w:rPr>
        <w:fldChar w:fldCharType="begin"/>
      </w:r>
      <w:r w:rsidR="001E0F19"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001E0F19" w:rsidRPr="00F7606D">
        <w:rPr>
          <w:noProof/>
          <w:lang w:val="en-GB"/>
        </w:rPr>
        <w:t>(</w:t>
      </w:r>
      <w:r w:rsidR="001E0F19">
        <w:rPr>
          <w:noProof/>
          <w:lang w:val="en-GB"/>
        </w:rPr>
        <w:t>2013</w:t>
      </w:r>
      <w:r w:rsidR="001E0F19" w:rsidRPr="00F7606D">
        <w:rPr>
          <w:noProof/>
          <w:lang w:val="en-GB"/>
        </w:rPr>
        <w:t>)</w:t>
      </w:r>
      <w:r w:rsidR="00204467" w:rsidRPr="00F7606D">
        <w:rPr>
          <w:lang w:val="en-GB"/>
        </w:rPr>
        <w:fldChar w:fldCharType="end"/>
      </w:r>
    </w:p>
    <w:tbl>
      <w:tblPr>
        <w:tblStyle w:val="afff"/>
        <w:tblW w:w="9351" w:type="dxa"/>
        <w:tblLook w:val="04A0"/>
      </w:tblPr>
      <w:tblGrid>
        <w:gridCol w:w="2687"/>
        <w:gridCol w:w="1986"/>
        <w:gridCol w:w="4678"/>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ScalaLancetPro-Bold" w:cs="ScalaLancetPro-Bold"/>
                <w:bCs/>
                <w:szCs w:val="22"/>
                <w:lang w:val="en-GB" w:eastAsia="en-US"/>
              </w:rPr>
              <w:t>NCT00355134</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ScalaLancetPro" w:cs="ScalaLancetPro"/>
                <w:szCs w:val="22"/>
                <w:lang w:val="en-GB" w:eastAsia="en-US"/>
              </w:rPr>
            </w:pPr>
            <w:r w:rsidRPr="00F7606D">
              <w:rPr>
                <w:rFonts w:eastAsia="ScalaLancetPro" w:cs="ScalaLancetPro"/>
                <w:szCs w:val="22"/>
                <w:lang w:val="en-GB" w:eastAsia="en-US"/>
              </w:rPr>
              <w:t>Double-blind,</w:t>
            </w:r>
            <w:r w:rsidRPr="00F7606D">
              <w:rPr>
                <w:szCs w:val="22"/>
                <w:lang w:val="en-GB"/>
              </w:rPr>
              <w:t xml:space="preserve"> </w:t>
            </w:r>
            <w:r w:rsidRPr="00F7606D">
              <w:rPr>
                <w:rFonts w:eastAsia="ScalaLancetPro" w:cs="ScalaLancetPro"/>
                <w:szCs w:val="22"/>
                <w:lang w:val="en-GB" w:eastAsia="en-US"/>
              </w:rPr>
              <w:t>randomised controlled study. In 117 academic and tertiary referral centres in 8 countries, most patients from USA</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rFonts w:eastAsia="ScalaLancetPro" w:cs="ScalaLancetPro"/>
                <w:szCs w:val="22"/>
                <w:lang w:val="en-GB" w:eastAsia="en-US"/>
              </w:rPr>
            </w:pPr>
            <w:r w:rsidRPr="00F7606D">
              <w:rPr>
                <w:rFonts w:eastAsia="ScalaLancetPro" w:cs="ScalaLancetPro"/>
                <w:i/>
                <w:szCs w:val="22"/>
                <w:u w:val="single"/>
                <w:lang w:val="en-GB" w:eastAsia="en-US"/>
              </w:rPr>
              <w:t>Eligibility criteria:</w:t>
            </w:r>
            <w:r w:rsidRPr="00F7606D">
              <w:rPr>
                <w:rFonts w:eastAsia="ScalaLancetPro" w:cs="ScalaLancetPro"/>
                <w:szCs w:val="22"/>
                <w:lang w:val="en-GB" w:eastAsia="en-US"/>
              </w:rPr>
              <w:t xml:space="preserve"> diagnosed with relapsing-remitting multiple sclerosis according to the 2005 revised McDonald criteria, aged 18–55 years, one or more confirmed relapses during the preceding year (or two or more confirmed relapses during the previous 2 years), EDSS score of 0–5.5, and had no relapse or steroid treatment within 30 days before randomisation. interferon β or glatiramer acetate therapy was stopped at least 3 months before randomisation and natalizumab treatment at least 6 months before randomisation.</w:t>
            </w:r>
          </w:p>
          <w:p w:rsidR="00EA7D99" w:rsidRPr="00F7606D" w:rsidRDefault="00EA7D99" w:rsidP="00EA7D99">
            <w:pPr>
              <w:tabs>
                <w:tab w:val="clear" w:pos="510"/>
              </w:tabs>
              <w:autoSpaceDE w:val="0"/>
              <w:autoSpaceDN w:val="0"/>
              <w:adjustRightInd w:val="0"/>
              <w:spacing w:line="240" w:lineRule="auto"/>
              <w:contextualSpacing/>
              <w:jc w:val="both"/>
              <w:rPr>
                <w:rFonts w:eastAsia="ScalaLancetPro" w:cs="ScalaLancetPro"/>
                <w:szCs w:val="22"/>
                <w:lang w:val="en-GB" w:eastAsia="en-US"/>
              </w:rPr>
            </w:pPr>
            <w:r w:rsidRPr="00F7606D">
              <w:rPr>
                <w:rFonts w:eastAsia="ScalaLancetPro" w:cs="ScalaLancetPro"/>
                <w:i/>
                <w:szCs w:val="22"/>
                <w:u w:val="single"/>
                <w:lang w:val="en-GB" w:eastAsia="en-US"/>
              </w:rPr>
              <w:t>Key exclusion criteria:</w:t>
            </w:r>
            <w:r w:rsidRPr="00F7606D">
              <w:rPr>
                <w:rFonts w:eastAsia="ScalaLancetPro" w:cs="ScalaLancetPro"/>
                <w:szCs w:val="22"/>
                <w:lang w:val="en-GB" w:eastAsia="en-US"/>
              </w:rPr>
              <w:t xml:space="preserve"> clinically significant systemic disease or immune suppression, active infection or macular oedema, diabetes mellitus, or a history of malignancy, and patients with specific cardiac, pulmonary, or hepatic disorders.</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AGaramond-R"/>
                <w:color w:val="231F20"/>
                <w:szCs w:val="22"/>
                <w:u w:val="single"/>
                <w:lang w:val="en-GB" w:eastAsia="en-US"/>
              </w:rPr>
              <w:t>Baseline characteristics in placebo group:</w:t>
            </w:r>
            <w:r w:rsidRPr="00F7606D">
              <w:rPr>
                <w:rFonts w:eastAsiaTheme="minorHAnsi" w:cs="AdvAGaramond-R"/>
                <w:color w:val="231F20"/>
                <w:szCs w:val="22"/>
                <w:lang w:val="en-GB" w:eastAsia="en-US"/>
              </w:rPr>
              <w:t xml:space="preserve"> Age: 40+/-8; 81% female; EDSS: 2.4 +/- 1.3.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tabs>
                <w:tab w:val="clear" w:pos="510"/>
              </w:tabs>
              <w:autoSpaceDE w:val="0"/>
              <w:autoSpaceDN w:val="0"/>
              <w:adjustRightInd w:val="0"/>
              <w:spacing w:line="240" w:lineRule="auto"/>
              <w:contextualSpacing/>
              <w:jc w:val="both"/>
              <w:rPr>
                <w:rFonts w:eastAsia="ScalaLancetPro" w:cs="ScalaLancetPro"/>
                <w:szCs w:val="22"/>
                <w:lang w:val="pt-PT" w:eastAsia="en-US"/>
              </w:rPr>
            </w:pPr>
            <w:r w:rsidRPr="00B4105F">
              <w:rPr>
                <w:rFonts w:eastAsia="ScalaLancetPro" w:cs="ScalaLancetPro"/>
                <w:szCs w:val="22"/>
                <w:lang w:val="pt-PT" w:eastAsia="en-US"/>
              </w:rPr>
              <w:t>Fingolimod 0.5 mg oral q.d. (n=358)</w:t>
            </w:r>
          </w:p>
          <w:p w:rsidR="00EA7D99" w:rsidRPr="00B4105F" w:rsidRDefault="00EA7D99" w:rsidP="00EA7D99">
            <w:pPr>
              <w:tabs>
                <w:tab w:val="clear" w:pos="510"/>
              </w:tabs>
              <w:autoSpaceDE w:val="0"/>
              <w:autoSpaceDN w:val="0"/>
              <w:adjustRightInd w:val="0"/>
              <w:spacing w:line="240" w:lineRule="auto"/>
              <w:contextualSpacing/>
              <w:jc w:val="both"/>
              <w:rPr>
                <w:rFonts w:eastAsia="ScalaLancetPro" w:cs="ScalaLancetPro"/>
                <w:szCs w:val="22"/>
                <w:lang w:val="pt-PT" w:eastAsia="en-US"/>
              </w:rPr>
            </w:pPr>
            <w:r w:rsidRPr="00B4105F">
              <w:rPr>
                <w:rFonts w:eastAsia="ScalaLancetPro" w:cs="ScalaLancetPro"/>
                <w:szCs w:val="22"/>
                <w:lang w:val="pt-PT" w:eastAsia="en-US"/>
              </w:rPr>
              <w:t>Fingolimod 1.25 mg oral q.d. (n=370)</w:t>
            </w:r>
          </w:p>
          <w:p w:rsidR="00EA7D99" w:rsidRPr="00F7606D" w:rsidRDefault="00EA7D99" w:rsidP="00EA7D99">
            <w:pPr>
              <w:tabs>
                <w:tab w:val="clear" w:pos="510"/>
              </w:tabs>
              <w:autoSpaceDE w:val="0"/>
              <w:autoSpaceDN w:val="0"/>
              <w:adjustRightInd w:val="0"/>
              <w:spacing w:line="240" w:lineRule="auto"/>
              <w:contextualSpacing/>
              <w:jc w:val="both"/>
              <w:rPr>
                <w:rFonts w:eastAsia="ScalaLancetPro" w:cs="ScalaLancetPro"/>
                <w:szCs w:val="22"/>
                <w:lang w:val="en-GB" w:eastAsia="en-US"/>
              </w:rPr>
            </w:pPr>
            <w:r w:rsidRPr="00F7606D">
              <w:rPr>
                <w:rFonts w:eastAsia="ScalaLancetPro" w:cs="ScalaLancetPro"/>
                <w:i/>
                <w:szCs w:val="22"/>
                <w:lang w:val="en-GB" w:eastAsia="en-US"/>
              </w:rPr>
              <w:t>Note:</w:t>
            </w:r>
            <w:r w:rsidRPr="00F7606D">
              <w:rPr>
                <w:rFonts w:eastAsia="ScalaLancetPro" w:cs="ScalaLancetPro"/>
                <w:szCs w:val="22"/>
                <w:lang w:val="en-GB" w:eastAsia="en-US"/>
              </w:rPr>
              <w:t xml:space="preserve"> The 1.25 mg dose stopped due to absence of clear added benefits and a higher safety events risk (infections,macular oedema). Patients were switched to the 0.5 mg dose in a blinded manner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eastAsia="ScalaLancetPro" w:hAnsi="Georgia" w:cs="ScalaLancetPro"/>
                <w:sz w:val="22"/>
                <w:szCs w:val="22"/>
                <w:lang w:val="en-GB"/>
              </w:rPr>
              <w:t>Placebo (n=355)</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rFonts w:eastAsia="ScalaLancetPro" w:cs="ScalaLancetPro"/>
                <w:szCs w:val="22"/>
                <w:lang w:val="en-GB" w:eastAsia="en-US"/>
              </w:rPr>
            </w:pPr>
            <w:r w:rsidRPr="00F7606D">
              <w:rPr>
                <w:i/>
                <w:szCs w:val="22"/>
                <w:u w:val="single"/>
                <w:lang w:val="en-GB"/>
              </w:rPr>
              <w:t>Primary endpoints:</w:t>
            </w:r>
            <w:r w:rsidRPr="00F7606D">
              <w:rPr>
                <w:szCs w:val="22"/>
                <w:lang w:val="en-GB"/>
              </w:rPr>
              <w:t xml:space="preserve"> </w:t>
            </w:r>
            <w:r w:rsidRPr="00F7606D">
              <w:rPr>
                <w:rFonts w:eastAsia="ScalaLancetPro" w:cs="ScalaLancetPro"/>
                <w:szCs w:val="22"/>
                <w:lang w:val="en-GB" w:eastAsia="en-US"/>
              </w:rPr>
              <w:t xml:space="preserve">Annualised relapse rates </w:t>
            </w:r>
          </w:p>
          <w:p w:rsidR="00EA7D99" w:rsidRPr="00F7606D" w:rsidRDefault="00EA7D99" w:rsidP="00EA7D99">
            <w:pPr>
              <w:tabs>
                <w:tab w:val="clear" w:pos="510"/>
              </w:tabs>
              <w:autoSpaceDE w:val="0"/>
              <w:autoSpaceDN w:val="0"/>
              <w:adjustRightInd w:val="0"/>
              <w:spacing w:line="240" w:lineRule="auto"/>
              <w:contextualSpacing/>
              <w:jc w:val="both"/>
              <w:rPr>
                <w:rFonts w:eastAsia="ScalaLancetPro" w:cs="ScalaLancetPro"/>
                <w:szCs w:val="22"/>
                <w:lang w:val="en-GB" w:eastAsia="en-US"/>
              </w:rPr>
            </w:pPr>
            <w:r w:rsidRPr="00F7606D">
              <w:rPr>
                <w:rFonts w:eastAsia="ScalaLancetPro" w:cs="ScalaLancetPro"/>
                <w:i/>
                <w:szCs w:val="22"/>
                <w:u w:val="single"/>
                <w:lang w:val="en-GB" w:eastAsia="en-US"/>
              </w:rPr>
              <w:t xml:space="preserve">Secondary endpoints: </w:t>
            </w:r>
            <w:r w:rsidRPr="00F7606D">
              <w:rPr>
                <w:rFonts w:eastAsia="ScalaLancetPro" w:cs="ScalaLancetPro"/>
                <w:szCs w:val="22"/>
                <w:lang w:val="en-GB" w:eastAsia="en-US"/>
              </w:rPr>
              <w:t xml:space="preserve">Percent brain-volume change , the time to first relapse and proportion of relapsefree patients; time to disability progression confirmed at6 months, as measured by EDSS; change from baseline to the end of study on the MSFC score; and effect on MRI. </w:t>
            </w:r>
          </w:p>
          <w:p w:rsidR="00EA7D99" w:rsidRPr="00F7606D" w:rsidRDefault="00EA7D99" w:rsidP="00EA7D99">
            <w:pPr>
              <w:tabs>
                <w:tab w:val="clear" w:pos="510"/>
              </w:tabs>
              <w:autoSpaceDE w:val="0"/>
              <w:autoSpaceDN w:val="0"/>
              <w:adjustRightInd w:val="0"/>
              <w:spacing w:line="240" w:lineRule="auto"/>
              <w:contextualSpacing/>
              <w:rPr>
                <w:rFonts w:eastAsia="ScalaLancetPro" w:cs="ScalaLancetPro"/>
                <w:szCs w:val="22"/>
                <w:lang w:val="en-GB" w:eastAsia="en-US"/>
              </w:rPr>
            </w:pPr>
            <w:r w:rsidRPr="00F7606D">
              <w:rPr>
                <w:rFonts w:eastAsia="ScalaLancetPro" w:cs="ScalaLancetPro"/>
                <w:szCs w:val="22"/>
                <w:u w:val="single"/>
                <w:lang w:val="en-GB" w:eastAsia="en-US"/>
              </w:rPr>
              <w:t>Definitions used for endpoints:</w:t>
            </w:r>
            <w:r w:rsidRPr="00F7606D">
              <w:rPr>
                <w:rFonts w:eastAsia="ScalaLancetPro" w:cs="ScalaLancetPro"/>
                <w:szCs w:val="22"/>
                <w:lang w:val="en-GB" w:eastAsia="en-US"/>
              </w:rPr>
              <w:t xml:space="preserve"> </w:t>
            </w:r>
            <w:r w:rsidRPr="00F7606D">
              <w:rPr>
                <w:rFonts w:eastAsia="ScalaLancetPro" w:cs="ScalaLancetPro"/>
                <w:i/>
                <w:szCs w:val="22"/>
                <w:u w:val="single"/>
                <w:lang w:val="en-GB" w:eastAsia="en-US"/>
              </w:rPr>
              <w:t>Relapse:</w:t>
            </w:r>
            <w:r w:rsidRPr="00F7606D">
              <w:rPr>
                <w:rFonts w:eastAsia="ScalaLancetPro" w:cs="ScalaLancetPro"/>
                <w:szCs w:val="22"/>
                <w:lang w:val="en-GB" w:eastAsia="en-US"/>
              </w:rPr>
              <w:t xml:space="preserve"> confirmed when accompanied by an increase of at least half a step (0</w:t>
            </w:r>
            <w:r w:rsidRPr="00F7606D">
              <w:rPr>
                <w:rFonts w:eastAsia="ScalaLancetPro" w:cs="ScalaLancetPro"/>
                <w:szCs w:val="22"/>
                <w:lang w:val="en-GB" w:eastAsia="en-US"/>
              </w:rPr>
              <w:t>・</w:t>
            </w:r>
            <w:r w:rsidRPr="00F7606D">
              <w:rPr>
                <w:rFonts w:eastAsia="ScalaLancetPro" w:cs="ScalaLancetPro"/>
                <w:szCs w:val="22"/>
                <w:lang w:val="en-GB" w:eastAsia="en-US"/>
              </w:rPr>
              <w:t>5) on the EDSS, an increase of 1 point on two different functional systems of the EDSS, or 2 points on one of the functional systems (excluding bowel, bladder, or cerebral functional systems).</w:t>
            </w:r>
          </w:p>
          <w:p w:rsidR="00EA7D99" w:rsidRPr="00F7606D" w:rsidRDefault="00EA7D99" w:rsidP="00EA7D99">
            <w:pPr>
              <w:tabs>
                <w:tab w:val="clear" w:pos="510"/>
              </w:tabs>
              <w:autoSpaceDE w:val="0"/>
              <w:autoSpaceDN w:val="0"/>
              <w:adjustRightInd w:val="0"/>
              <w:spacing w:line="240" w:lineRule="auto"/>
              <w:contextualSpacing/>
              <w:rPr>
                <w:rFonts w:eastAsia="ScalaLancetPro" w:cs="ScalaLancetPro"/>
                <w:szCs w:val="22"/>
                <w:lang w:val="en-GB" w:eastAsia="en-US"/>
              </w:rPr>
            </w:pPr>
            <w:r w:rsidRPr="00F7606D">
              <w:rPr>
                <w:rFonts w:eastAsia="ScalaLancetPro" w:cs="ScalaLancetPro"/>
                <w:i/>
                <w:szCs w:val="22"/>
                <w:u w:val="single"/>
                <w:lang w:val="en-GB" w:eastAsia="en-US"/>
              </w:rPr>
              <w:t>Disability progression:</w:t>
            </w:r>
            <w:r w:rsidRPr="00F7606D">
              <w:rPr>
                <w:rFonts w:eastAsia="ScalaLancetPro" w:cs="ScalaLancetPro"/>
                <w:szCs w:val="22"/>
                <w:lang w:val="en-GB" w:eastAsia="en-US"/>
              </w:rPr>
              <w:t xml:space="preserve"> 1 point EDSS change [0</w:t>
            </w:r>
            <w:r w:rsidRPr="00F7606D">
              <w:rPr>
                <w:rFonts w:eastAsia="ScalaLancetPro" w:cs="ScalaLancetPro"/>
                <w:szCs w:val="22"/>
                <w:lang w:val="en-GB" w:eastAsia="en-US"/>
              </w:rPr>
              <w:t>・</w:t>
            </w:r>
            <w:r w:rsidRPr="00F7606D">
              <w:rPr>
                <w:rFonts w:eastAsia="ScalaLancetPro" w:cs="ScalaLancetPro"/>
                <w:szCs w:val="22"/>
                <w:lang w:val="en-GB" w:eastAsia="en-US"/>
              </w:rPr>
              <w:t>5 point if baseline EDSS was &gt;5</w:t>
            </w:r>
            <w:r w:rsidRPr="00F7606D">
              <w:rPr>
                <w:rFonts w:eastAsia="ScalaLancetPro" w:cs="ScalaLancetPro"/>
                <w:szCs w:val="22"/>
                <w:lang w:val="en-GB" w:eastAsia="en-US"/>
              </w:rPr>
              <w:t>・</w:t>
            </w:r>
            <w:r w:rsidRPr="00F7606D">
              <w:rPr>
                <w:rFonts w:eastAsia="ScalaLancetPro" w:cs="ScalaLancetPro"/>
                <w:szCs w:val="22"/>
                <w:lang w:val="en-GB" w:eastAsia="en-US"/>
              </w:rPr>
              <w:t>0]) confirmed at 3 months for up to 24 months.</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2 years</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Unclear (inadequate information to characterise)</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Risk of bias</w:t>
            </w:r>
          </w:p>
        </w:tc>
      </w:tr>
      <w:tr w:rsidR="00EA7D99" w:rsidRPr="00F7606D" w:rsidTr="00EA7D99">
        <w:tc>
          <w:tcPr>
            <w:tcW w:w="4673"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Random sequence generation</w:t>
            </w:r>
          </w:p>
        </w:tc>
        <w:tc>
          <w:tcPr>
            <w:tcW w:w="4678"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r w:rsidRPr="00F7606D">
              <w:rPr>
                <w:rFonts w:eastAsia="ScalaLancetPro" w:cs="ScalaLancetPro"/>
                <w:szCs w:val="22"/>
                <w:lang w:val="en-GB" w:eastAsia="en-US"/>
              </w:rPr>
              <w:t xml:space="preserve"> </w:t>
            </w:r>
          </w:p>
        </w:tc>
      </w:tr>
      <w:tr w:rsidR="00EA7D99" w:rsidRPr="00F7606D" w:rsidTr="00EA7D99">
        <w:tc>
          <w:tcPr>
            <w:tcW w:w="4673"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Allocation concealment</w:t>
            </w:r>
          </w:p>
        </w:tc>
        <w:tc>
          <w:tcPr>
            <w:tcW w:w="4678"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673"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Blinding of participant and personnel</w:t>
            </w:r>
          </w:p>
        </w:tc>
        <w:tc>
          <w:tcPr>
            <w:tcW w:w="4678"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 xml:space="preserve">Adequate </w:t>
            </w:r>
          </w:p>
        </w:tc>
      </w:tr>
      <w:tr w:rsidR="00EA7D99" w:rsidRPr="00F7606D" w:rsidTr="00EA7D99">
        <w:tc>
          <w:tcPr>
            <w:tcW w:w="4673"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Blinding of outcome assessment</w:t>
            </w:r>
          </w:p>
        </w:tc>
        <w:tc>
          <w:tcPr>
            <w:tcW w:w="4678"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szCs w:val="22"/>
                <w:lang w:val="en-GB"/>
              </w:rPr>
            </w:pPr>
            <w:r w:rsidRPr="00F7606D">
              <w:rPr>
                <w:szCs w:val="22"/>
                <w:lang w:val="en-GB"/>
              </w:rPr>
              <w:t xml:space="preserve">Adequate </w:t>
            </w:r>
          </w:p>
        </w:tc>
      </w:tr>
      <w:tr w:rsidR="00EA7D99" w:rsidRPr="00685670" w:rsidTr="00EA7D99">
        <w:tc>
          <w:tcPr>
            <w:tcW w:w="4673"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Incomplete outcome data</w:t>
            </w:r>
          </w:p>
        </w:tc>
        <w:tc>
          <w:tcPr>
            <w:tcW w:w="4678"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rFonts w:eastAsia="ScalaLancetPro" w:cs="ScalaLancetPro"/>
                <w:szCs w:val="22"/>
                <w:lang w:val="en-GB" w:eastAsia="en-US"/>
              </w:rPr>
            </w:pPr>
            <w:r w:rsidRPr="00F7606D">
              <w:rPr>
                <w:rFonts w:eastAsia="ScalaLancetPro" w:cs="ScalaLancetPro"/>
                <w:szCs w:val="22"/>
                <w:lang w:val="en-GB" w:eastAsia="en-US"/>
              </w:rPr>
              <w:t>Intention-to-treat analysis</w:t>
            </w:r>
          </w:p>
          <w:p w:rsidR="00EA7D99" w:rsidRPr="00F7606D" w:rsidRDefault="00EA7D99" w:rsidP="00EA7D99">
            <w:pPr>
              <w:spacing w:line="240" w:lineRule="auto"/>
              <w:contextualSpacing/>
              <w:rPr>
                <w:rFonts w:eastAsia="ScalaLancetPro"/>
                <w:szCs w:val="22"/>
                <w:lang w:val="en-GB" w:eastAsia="en-US"/>
              </w:rPr>
            </w:pPr>
            <w:r w:rsidRPr="00F7606D">
              <w:rPr>
                <w:rFonts w:eastAsia="ScalaLancetPro"/>
                <w:szCs w:val="22"/>
                <w:lang w:val="en-GB" w:eastAsia="en-US"/>
              </w:rPr>
              <w:t>Withdrawals: 28%</w:t>
            </w:r>
          </w:p>
        </w:tc>
      </w:tr>
      <w:tr w:rsidR="00EA7D99" w:rsidRPr="00F7606D" w:rsidTr="00EA7D99">
        <w:tc>
          <w:tcPr>
            <w:tcW w:w="4673"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Selective reporting</w:t>
            </w:r>
          </w:p>
        </w:tc>
        <w:tc>
          <w:tcPr>
            <w:tcW w:w="4678"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None detected</w:t>
            </w:r>
          </w:p>
        </w:tc>
      </w:tr>
      <w:tr w:rsidR="00EA7D99" w:rsidRPr="00F7606D" w:rsidTr="00EA7D99">
        <w:tc>
          <w:tcPr>
            <w:tcW w:w="4673"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Other sources of bias</w:t>
            </w:r>
          </w:p>
        </w:tc>
        <w:tc>
          <w:tcPr>
            <w:tcW w:w="4678"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rFonts w:eastAsia="ScalaLancetPro" w:cs="ScalaLancetPro"/>
                <w:szCs w:val="22"/>
                <w:lang w:val="en-GB" w:eastAsia="en-US"/>
              </w:rPr>
              <w:t>Funding: Manufacturer</w:t>
            </w:r>
          </w:p>
        </w:tc>
      </w:tr>
    </w:tbl>
    <w:p w:rsidR="00746324" w:rsidRDefault="00746324" w:rsidP="004B4975">
      <w:pPr>
        <w:pStyle w:val="NormalBilledplassering"/>
      </w:pPr>
    </w:p>
    <w:p w:rsidR="00EA7D99" w:rsidRPr="00F7606D" w:rsidRDefault="00EA7D99" w:rsidP="00EA7D99">
      <w:pPr>
        <w:pStyle w:val="31"/>
        <w:rPr>
          <w:lang w:val="en-GB"/>
        </w:rPr>
      </w:pPr>
      <w:r w:rsidRPr="00F7606D">
        <w:rPr>
          <w:lang w:val="en-GB"/>
        </w:rPr>
        <w:t>Glatiramer acetate</w:t>
      </w:r>
    </w:p>
    <w:p w:rsidR="00EA7D99" w:rsidRPr="00F7606D" w:rsidRDefault="00EA7D99" w:rsidP="00746324">
      <w:pPr>
        <w:pStyle w:val="41"/>
        <w:numPr>
          <w:ilvl w:val="0"/>
          <w:numId w:val="0"/>
        </w:numPr>
        <w:spacing w:line="240" w:lineRule="auto"/>
        <w:contextualSpacing/>
        <w:rPr>
          <w:szCs w:val="22"/>
          <w:lang w:val="en-GB"/>
        </w:rPr>
      </w:pPr>
      <w:r w:rsidRPr="00F7606D">
        <w:rPr>
          <w:szCs w:val="22"/>
          <w:lang w:val="en-GB"/>
        </w:rPr>
        <w:t xml:space="preserve">Johnson et al., </w:t>
      </w:r>
      <w:r w:rsidR="001E0F19">
        <w:rPr>
          <w:szCs w:val="22"/>
          <w:lang w:val="en-GB"/>
        </w:rPr>
        <w:t>(</w:t>
      </w:r>
      <w:r w:rsidRPr="00F7606D">
        <w:rPr>
          <w:szCs w:val="22"/>
          <w:lang w:val="en-GB"/>
        </w:rPr>
        <w:t xml:space="preserve">1995 </w:t>
      </w:r>
      <w:r w:rsidR="001E0F19">
        <w:rPr>
          <w:szCs w:val="22"/>
          <w:lang w:val="en-GB"/>
        </w:rPr>
        <w:t>)</w:t>
      </w:r>
      <w:r w:rsidRPr="00F7606D">
        <w:rPr>
          <w:szCs w:val="22"/>
          <w:lang w:val="en-GB"/>
        </w:rPr>
        <w:t xml:space="preserve">, included in </w:t>
      </w:r>
      <w:r w:rsidR="00663354">
        <w:rPr>
          <w:szCs w:val="22"/>
          <w:lang w:val="en-GB"/>
        </w:rPr>
        <w:t>Tran</w:t>
      </w:r>
      <w:r w:rsidRPr="00F7606D">
        <w:rPr>
          <w:szCs w:val="22"/>
          <w:lang w:val="en-GB"/>
        </w:rPr>
        <w:t xml:space="preserve"> et al. </w:t>
      </w:r>
      <w:r w:rsidR="00204467" w:rsidRPr="00F7606D">
        <w:rPr>
          <w:lang w:val="en-GB"/>
        </w:rPr>
        <w:fldChar w:fldCharType="begin"/>
      </w:r>
      <w:r w:rsidR="001E0F19"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001E0F19" w:rsidRPr="00F7606D">
        <w:rPr>
          <w:noProof/>
          <w:lang w:val="en-GB"/>
        </w:rPr>
        <w:t>(</w:t>
      </w:r>
      <w:r w:rsidR="001E0F19">
        <w:rPr>
          <w:noProof/>
          <w:lang w:val="en-GB"/>
        </w:rPr>
        <w:t>2013</w:t>
      </w:r>
      <w:r w:rsidR="001E0F19" w:rsidRPr="00F7606D">
        <w:rPr>
          <w:noProof/>
          <w:lang w:val="en-GB"/>
        </w:rPr>
        <w:t>)</w:t>
      </w:r>
      <w:r w:rsidR="00204467" w:rsidRPr="00F7606D">
        <w:rPr>
          <w:lang w:val="en-GB"/>
        </w:rPr>
        <w:fldChar w:fldCharType="end"/>
      </w:r>
    </w:p>
    <w:tbl>
      <w:tblPr>
        <w:tblStyle w:val="afff"/>
        <w:tblW w:w="9351" w:type="dxa"/>
        <w:tblLook w:val="04A0"/>
      </w:tblPr>
      <w:tblGrid>
        <w:gridCol w:w="2687"/>
        <w:gridCol w:w="1559"/>
        <w:gridCol w:w="5105"/>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Not reported</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Double-blind, randomized, placebo-controlled trial. 11 centres in the US</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P641C"/>
                <w:i/>
                <w:szCs w:val="22"/>
                <w:u w:val="single"/>
                <w:lang w:val="en-GB" w:eastAsia="en-US"/>
              </w:rPr>
              <w:t>Eligibility criteria:</w:t>
            </w:r>
            <w:r w:rsidRPr="00F7606D">
              <w:rPr>
                <w:rFonts w:eastAsiaTheme="minorHAnsi" w:cs="AdvP641C"/>
                <w:szCs w:val="22"/>
                <w:lang w:val="en-GB" w:eastAsia="en-US"/>
              </w:rPr>
              <w:t xml:space="preserve"> RRMS (Poser-criteria), age 18 to 45 years,</w:t>
            </w:r>
            <w:r w:rsidRPr="00F7606D">
              <w:rPr>
                <w:szCs w:val="22"/>
                <w:lang w:val="en-GB"/>
              </w:rPr>
              <w:t xml:space="preserve"> EDSS = 0 to 5.0; had ≥ 2 clinically documented relapses in the 2 years before entry; onset of the first relapse at least 1 year before randomization; and a period of neurologic stability and freedom from corticosteroid therapy of at least 30 days prior to entry.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i/>
                <w:iCs/>
                <w:szCs w:val="22"/>
                <w:u w:val="single"/>
                <w:lang w:val="en-GB"/>
              </w:rPr>
              <w:t>Key exclusion criteria</w:t>
            </w:r>
            <w:r w:rsidRPr="00F7606D">
              <w:rPr>
                <w:i/>
                <w:szCs w:val="22"/>
                <w:u w:val="single"/>
                <w:lang w:val="en-GB"/>
              </w:rPr>
              <w:t>:</w:t>
            </w:r>
            <w:r w:rsidRPr="00F7606D">
              <w:rPr>
                <w:szCs w:val="22"/>
                <w:lang w:val="en-GB"/>
              </w:rPr>
              <w:t xml:space="preserve"> Received </w:t>
            </w:r>
            <w:r w:rsidRPr="00F7606D">
              <w:rPr>
                <w:bCs/>
                <w:szCs w:val="22"/>
                <w:lang w:val="en-GB"/>
              </w:rPr>
              <w:t>Glatiramer acetate</w:t>
            </w:r>
            <w:r w:rsidRPr="00F7606D">
              <w:rPr>
                <w:szCs w:val="22"/>
                <w:lang w:val="en-GB"/>
              </w:rPr>
              <w:t xml:space="preserve"> 1 or previous immunosuppressive therapy with cytotoxic chemotherapy (azathioprine, cyclophosphamide, or cyclosporine) or lymphoid irradiation; pregnancy or lactation; insulin-dependent diabetes mellitus, positive HIV or HTL V-I serology, evidence of Lyme disease, or required use of aspirin or chronic nonsteroidal antiinflammatory drugs during the course of the trial.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AGaramond-R"/>
                <w:i/>
                <w:color w:val="231F20"/>
                <w:szCs w:val="22"/>
                <w:u w:val="single"/>
                <w:lang w:val="en-GB" w:eastAsia="en-US"/>
              </w:rPr>
              <w:t>Baseline characteristics</w:t>
            </w:r>
            <w:r w:rsidRPr="00F7606D">
              <w:rPr>
                <w:rFonts w:eastAsiaTheme="minorHAnsi" w:cs="AdvAGaramond-R"/>
                <w:i/>
                <w:color w:val="231F20"/>
                <w:szCs w:val="22"/>
                <w:lang w:val="en-GB" w:eastAsia="en-US"/>
              </w:rPr>
              <w:t>:</w:t>
            </w:r>
            <w:r w:rsidRPr="00F7606D">
              <w:rPr>
                <w:rFonts w:eastAsiaTheme="minorHAnsi" w:cs="AdvAGaramond-R"/>
                <w:color w:val="231F20"/>
                <w:szCs w:val="22"/>
                <w:lang w:val="en-GB" w:eastAsia="en-US"/>
              </w:rPr>
              <w:t xml:space="preserve"> Age: 34+/-6; 73% female; EDSS 2.6 +/-1.3</w:t>
            </w:r>
          </w:p>
        </w:tc>
      </w:tr>
      <w:tr w:rsidR="00EA7D99" w:rsidRPr="00B4105F"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 xml:space="preserve">Glatiramer acetate 20 mg SC q.d </w:t>
            </w:r>
            <w:r w:rsidRPr="00B4105F">
              <w:rPr>
                <w:rFonts w:ascii="Georgia" w:hAnsi="Georgia"/>
                <w:sz w:val="22"/>
                <w:szCs w:val="22"/>
                <w:lang w:val="pt-PT"/>
              </w:rPr>
              <w:t xml:space="preserve">(n =125)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bCs/>
                <w:sz w:val="22"/>
                <w:szCs w:val="22"/>
                <w:lang w:val="en-GB"/>
              </w:rPr>
              <w:t xml:space="preserve">Placebo </w:t>
            </w:r>
            <w:r w:rsidRPr="00F7606D">
              <w:rPr>
                <w:rFonts w:ascii="Georgia" w:hAnsi="Georgia"/>
                <w:sz w:val="22"/>
                <w:szCs w:val="22"/>
                <w:lang w:val="en-GB"/>
              </w:rPr>
              <w:t>(n=126)</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endpoints</w:t>
            </w:r>
            <w:r w:rsidRPr="00F7606D">
              <w:rPr>
                <w:rFonts w:ascii="Georgia" w:hAnsi="Georgia"/>
                <w:sz w:val="22"/>
                <w:szCs w:val="22"/>
                <w:u w:val="single"/>
                <w:lang w:val="en-GB"/>
              </w:rPr>
              <w:t>:</w:t>
            </w:r>
            <w:r w:rsidRPr="00F7606D">
              <w:rPr>
                <w:rFonts w:ascii="Georgia" w:hAnsi="Georgia"/>
                <w:sz w:val="22"/>
                <w:szCs w:val="22"/>
                <w:lang w:val="en-GB"/>
              </w:rPr>
              <w:t xml:space="preserve"> Relapse rate over 24 months, annualized relapse rate, number of relapse over 24 months.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Secondary endpoints</w:t>
            </w:r>
            <w:r w:rsidRPr="00F7606D">
              <w:rPr>
                <w:i/>
                <w:szCs w:val="22"/>
                <w:u w:val="single"/>
                <w:lang w:val="en-GB"/>
              </w:rPr>
              <w:t>:</w:t>
            </w:r>
            <w:r w:rsidRPr="00F7606D">
              <w:rPr>
                <w:szCs w:val="22"/>
                <w:lang w:val="en-GB"/>
              </w:rPr>
              <w:t xml:space="preserve"> Proportion of relapse-free patients, median time to first relapse, number of relapse per patient, proportion of patients with a change in disability, EDSS change, proportion of progression-free patients, ambulation index.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Cs/>
                <w:sz w:val="22"/>
                <w:szCs w:val="22"/>
                <w:u w:val="single"/>
                <w:lang w:val="en-GB"/>
              </w:rPr>
              <w:t>Definitions used for endpoints:</w:t>
            </w:r>
            <w:r w:rsidRPr="00F7606D">
              <w:rPr>
                <w:rFonts w:ascii="Georgia" w:hAnsi="Georgia"/>
                <w:i/>
                <w:iCs/>
                <w:sz w:val="22"/>
                <w:szCs w:val="22"/>
                <w:lang w:val="en-GB"/>
              </w:rPr>
              <w:t xml:space="preserve"> </w:t>
            </w:r>
            <w:r w:rsidRPr="00F7606D">
              <w:rPr>
                <w:rFonts w:ascii="Georgia" w:hAnsi="Georgia"/>
                <w:i/>
                <w:iCs/>
                <w:sz w:val="22"/>
                <w:szCs w:val="22"/>
                <w:u w:val="single"/>
                <w:lang w:val="en-GB"/>
              </w:rPr>
              <w:t>Relapses</w:t>
            </w:r>
            <w:r w:rsidRPr="00F7606D">
              <w:rPr>
                <w:rFonts w:ascii="Georgia" w:hAnsi="Georgia"/>
                <w:sz w:val="22"/>
                <w:szCs w:val="22"/>
                <w:u w:val="single"/>
                <w:lang w:val="en-GB"/>
              </w:rPr>
              <w:t>:</w:t>
            </w:r>
            <w:r w:rsidRPr="00F7606D">
              <w:rPr>
                <w:rFonts w:ascii="Georgia" w:hAnsi="Georgia"/>
                <w:sz w:val="22"/>
                <w:szCs w:val="22"/>
                <w:lang w:val="en-GB"/>
              </w:rPr>
              <w:t xml:space="preserve"> The appearance or reappearance of one or more neurologic abnormalities persisting for at least 48 hours and immediately proceeded by a relatively stable or improving neurologic state of at least 30 days.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Disability progression</w:t>
            </w:r>
            <w:r w:rsidRPr="00F7606D">
              <w:rPr>
                <w:szCs w:val="22"/>
                <w:u w:val="single"/>
                <w:lang w:val="en-GB"/>
              </w:rPr>
              <w:t>:</w:t>
            </w:r>
            <w:r w:rsidRPr="00F7606D">
              <w:rPr>
                <w:szCs w:val="22"/>
                <w:lang w:val="en-GB"/>
              </w:rPr>
              <w:t xml:space="preserve"> An increase of at least one full step on the EDSS that persisted of at least 3 months.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2 years</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 xml:space="preserve">Treatment-naive (based on exclusion criteria, year of study, and clinical expert input). </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Randomization</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Insufficient reporting</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Allocation concealment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Not reporting</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Double-blinding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Baseline characteristic similarity</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 measures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Withdrawals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14%</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ITT Analysis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Funding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Manufacturer, public</w:t>
            </w:r>
          </w:p>
        </w:tc>
      </w:tr>
    </w:tbl>
    <w:p w:rsidR="00EA7D99" w:rsidRPr="00F7606D" w:rsidRDefault="00EA7D99" w:rsidP="00746324">
      <w:pPr>
        <w:pStyle w:val="41"/>
        <w:numPr>
          <w:ilvl w:val="0"/>
          <w:numId w:val="0"/>
        </w:numPr>
        <w:spacing w:line="240" w:lineRule="auto"/>
        <w:contextualSpacing/>
        <w:rPr>
          <w:szCs w:val="22"/>
          <w:lang w:val="en-GB"/>
        </w:rPr>
      </w:pPr>
      <w:r w:rsidRPr="00F7606D">
        <w:rPr>
          <w:szCs w:val="22"/>
          <w:lang w:val="en-GB"/>
        </w:rPr>
        <w:t xml:space="preserve">Comi et al., </w:t>
      </w:r>
      <w:r w:rsidR="001E0F19">
        <w:rPr>
          <w:szCs w:val="22"/>
          <w:lang w:val="en-GB"/>
        </w:rPr>
        <w:t>(</w:t>
      </w:r>
      <w:r w:rsidRPr="00F7606D">
        <w:rPr>
          <w:szCs w:val="22"/>
          <w:lang w:val="en-GB"/>
        </w:rPr>
        <w:t>2001</w:t>
      </w:r>
      <w:r w:rsidR="001E0F19">
        <w:rPr>
          <w:szCs w:val="22"/>
          <w:lang w:val="en-GB"/>
        </w:rPr>
        <w:t>)</w:t>
      </w:r>
      <w:r w:rsidRPr="00F7606D">
        <w:rPr>
          <w:szCs w:val="22"/>
          <w:lang w:val="en-GB"/>
        </w:rPr>
        <w:t xml:space="preserve">, included in </w:t>
      </w:r>
      <w:r w:rsidR="00663354">
        <w:rPr>
          <w:szCs w:val="22"/>
          <w:lang w:val="en-GB"/>
        </w:rPr>
        <w:t>Tran</w:t>
      </w:r>
      <w:r w:rsidRPr="00F7606D">
        <w:rPr>
          <w:szCs w:val="22"/>
          <w:lang w:val="en-GB"/>
        </w:rPr>
        <w:t xml:space="preserve"> et al. </w:t>
      </w:r>
      <w:r w:rsidR="00204467" w:rsidRPr="00F7606D">
        <w:rPr>
          <w:lang w:val="en-GB"/>
        </w:rPr>
        <w:fldChar w:fldCharType="begin"/>
      </w:r>
      <w:r w:rsidR="001E0F19"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001E0F19" w:rsidRPr="00F7606D">
        <w:rPr>
          <w:noProof/>
          <w:lang w:val="en-GB"/>
        </w:rPr>
        <w:t>(</w:t>
      </w:r>
      <w:r w:rsidR="001E0F19">
        <w:rPr>
          <w:noProof/>
          <w:lang w:val="en-GB"/>
        </w:rPr>
        <w:t>2013</w:t>
      </w:r>
      <w:r w:rsidR="001E0F19" w:rsidRPr="00F7606D">
        <w:rPr>
          <w:noProof/>
          <w:lang w:val="en-GB"/>
        </w:rPr>
        <w:t>)</w:t>
      </w:r>
      <w:r w:rsidR="00204467" w:rsidRPr="00F7606D">
        <w:rPr>
          <w:lang w:val="en-GB"/>
        </w:rPr>
        <w:fldChar w:fldCharType="end"/>
      </w:r>
    </w:p>
    <w:tbl>
      <w:tblPr>
        <w:tblStyle w:val="afff"/>
        <w:tblW w:w="9351" w:type="dxa"/>
        <w:tblLook w:val="04A0"/>
      </w:tblPr>
      <w:tblGrid>
        <w:gridCol w:w="2687"/>
        <w:gridCol w:w="1559"/>
        <w:gridCol w:w="5105"/>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Not reported</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szCs w:val="22"/>
                <w:lang w:val="en-GB"/>
              </w:rPr>
            </w:pPr>
            <w:r w:rsidRPr="00F7606D">
              <w:rPr>
                <w:rFonts w:eastAsiaTheme="minorHAnsi" w:cs="AGaramond-Regular"/>
                <w:szCs w:val="22"/>
                <w:lang w:val="en-GB" w:eastAsia="en-US"/>
              </w:rPr>
              <w:t>Double-blind,</w:t>
            </w:r>
            <w:r w:rsidRPr="00F7606D" w:rsidDel="00F12D02">
              <w:rPr>
                <w:rFonts w:eastAsiaTheme="minorHAnsi" w:cs="AGaramond-Regular"/>
                <w:szCs w:val="22"/>
                <w:lang w:val="en-GB" w:eastAsia="en-US"/>
              </w:rPr>
              <w:t xml:space="preserve"> </w:t>
            </w:r>
            <w:r w:rsidRPr="00F7606D">
              <w:rPr>
                <w:rFonts w:eastAsiaTheme="minorHAnsi" w:cs="AGaramond-Regular"/>
                <w:szCs w:val="22"/>
                <w:lang w:val="en-GB" w:eastAsia="en-US"/>
              </w:rPr>
              <w:t xml:space="preserve">randomized controlled study. </w:t>
            </w:r>
            <w:r w:rsidRPr="00F7606D">
              <w:rPr>
                <w:szCs w:val="22"/>
                <w:lang w:val="en-GB"/>
              </w:rPr>
              <w:t xml:space="preserve">29 centres in 6 European countries and Canada.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sz w:val="22"/>
                <w:szCs w:val="22"/>
                <w:u w:val="single"/>
                <w:lang w:val="en-GB"/>
              </w:rPr>
              <w:t>Eligibility criteria:</w:t>
            </w:r>
            <w:r w:rsidRPr="00F7606D">
              <w:rPr>
                <w:rFonts w:ascii="Georgia" w:hAnsi="Georgia"/>
                <w:sz w:val="22"/>
                <w:szCs w:val="22"/>
                <w:lang w:val="en-GB"/>
              </w:rPr>
              <w:t xml:space="preserve"> Age = 18 years to 50 years, with relapse-remitting course, a diagnosis of MS for at least 1 year, EDSS = 0 to 5.0; ≥1 documented relapse in the preceding 2 years, ≥ 1 enhancing lesion on screening brain MRI.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u w:val="single"/>
                <w:lang w:val="en-GB" w:eastAsia="en-US"/>
              </w:rPr>
            </w:pPr>
            <w:r w:rsidRPr="00F7606D">
              <w:rPr>
                <w:i/>
                <w:iCs/>
                <w:szCs w:val="22"/>
                <w:u w:val="single"/>
                <w:lang w:val="en-GB"/>
              </w:rPr>
              <w:t>Key exclusion criteria</w:t>
            </w:r>
            <w:r w:rsidRPr="00F7606D">
              <w:rPr>
                <w:i/>
                <w:szCs w:val="22"/>
                <w:u w:val="single"/>
                <w:lang w:val="en-GB"/>
              </w:rPr>
              <w:t>:</w:t>
            </w:r>
            <w:r w:rsidRPr="00F7606D">
              <w:rPr>
                <w:szCs w:val="22"/>
                <w:lang w:val="en-GB"/>
              </w:rPr>
              <w:t xml:space="preserve"> </w:t>
            </w:r>
            <w:r w:rsidRPr="00F7606D">
              <w:rPr>
                <w:rFonts w:eastAsiaTheme="minorHAnsi" w:cs="AGaramond-Regular"/>
                <w:szCs w:val="22"/>
                <w:lang w:val="en-GB" w:eastAsia="en-US"/>
              </w:rPr>
              <w:t xml:space="preserve">previous use of </w:t>
            </w:r>
            <w:r w:rsidRPr="00F7606D">
              <w:rPr>
                <w:bCs/>
                <w:szCs w:val="22"/>
                <w:lang w:val="en-GB"/>
              </w:rPr>
              <w:t>glatiramer acetate</w:t>
            </w:r>
            <w:r w:rsidRPr="00F7606D">
              <w:rPr>
                <w:rFonts w:eastAsiaTheme="minorHAnsi" w:cs="AGaramond-Regular"/>
                <w:szCs w:val="22"/>
                <w:lang w:val="en-GB" w:eastAsia="en-US"/>
              </w:rPr>
              <w:t xml:space="preserve">, oral myelin, lymphoid irradiation, the use of immunosuppressant or cytotoxic agents in the past 2 years, or the use of azathioprine, cyclosporine, interferons, deoxyspergualine, or chronic corticosteroids during the previous 6 months.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u w:val="single"/>
                <w:lang w:val="en-GB" w:eastAsia="en-US"/>
              </w:rPr>
            </w:pPr>
            <w:r w:rsidRPr="00F7606D">
              <w:rPr>
                <w:rFonts w:eastAsiaTheme="minorHAnsi" w:cs="AdvP641C"/>
                <w:i/>
                <w:szCs w:val="22"/>
                <w:u w:val="single"/>
                <w:lang w:val="en-GB" w:eastAsia="en-US"/>
              </w:rPr>
              <w:t>Baseline characteristics in placebo group:</w:t>
            </w:r>
            <w:r w:rsidRPr="00F7606D">
              <w:rPr>
                <w:rFonts w:eastAsiaTheme="minorHAnsi" w:cs="AdvP641C"/>
                <w:i/>
                <w:szCs w:val="22"/>
                <w:lang w:val="en-GB" w:eastAsia="en-US"/>
              </w:rPr>
              <w:t xml:space="preserve"> </w:t>
            </w:r>
            <w:r w:rsidRPr="00F7606D">
              <w:rPr>
                <w:rFonts w:eastAsiaTheme="minorHAnsi" w:cs="AdvP641C"/>
                <w:szCs w:val="22"/>
                <w:lang w:val="en-GB" w:eastAsia="en-US"/>
              </w:rPr>
              <w:t>Age: 34.0+/-8; % female not reported; EDSS: 2,4+/-1.2</w:t>
            </w:r>
          </w:p>
        </w:tc>
      </w:tr>
      <w:tr w:rsidR="00EA7D99" w:rsidRPr="00B4105F" w:rsidTr="00EA7D99">
        <w:trPr>
          <w:trHeight w:val="396"/>
        </w:trPr>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 xml:space="preserve">Glatiramer acetate 20 mg SC q.d. </w:t>
            </w:r>
            <w:r w:rsidRPr="00B4105F">
              <w:rPr>
                <w:rFonts w:ascii="Georgia" w:hAnsi="Georgia"/>
                <w:sz w:val="22"/>
                <w:szCs w:val="22"/>
                <w:lang w:val="pt-PT"/>
              </w:rPr>
              <w:t xml:space="preserve">(n=119)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bCs/>
                <w:sz w:val="22"/>
                <w:szCs w:val="22"/>
                <w:lang w:val="en-GB"/>
              </w:rPr>
              <w:t xml:space="preserve">Placebo </w:t>
            </w:r>
            <w:r w:rsidRPr="00F7606D">
              <w:rPr>
                <w:rFonts w:ascii="Georgia" w:hAnsi="Georgia"/>
                <w:sz w:val="22"/>
                <w:szCs w:val="22"/>
                <w:lang w:val="en-GB"/>
              </w:rPr>
              <w:t xml:space="preserve">(n=120) </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w:t>
            </w:r>
            <w:r w:rsidRPr="00F7606D">
              <w:rPr>
                <w:rFonts w:ascii="Georgia" w:hAnsi="Georgia"/>
                <w:sz w:val="22"/>
                <w:szCs w:val="22"/>
                <w:u w:val="single"/>
                <w:lang w:val="en-GB"/>
              </w:rPr>
              <w:t>:</w:t>
            </w:r>
            <w:r w:rsidRPr="00F7606D">
              <w:rPr>
                <w:rFonts w:ascii="Georgia" w:hAnsi="Georgia"/>
                <w:sz w:val="22"/>
                <w:szCs w:val="22"/>
                <w:lang w:val="en-GB"/>
              </w:rPr>
              <w:t xml:space="preserve"> Total number of enhancing lesions. </w:t>
            </w: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Secondary endpoints</w:t>
            </w:r>
            <w:r w:rsidRPr="00F7606D">
              <w:rPr>
                <w:rFonts w:ascii="Georgia" w:hAnsi="Georgia"/>
                <w:sz w:val="22"/>
                <w:szCs w:val="22"/>
                <w:u w:val="single"/>
                <w:lang w:val="en-GB"/>
              </w:rPr>
              <w:t>:</w:t>
            </w:r>
            <w:r w:rsidRPr="00F7606D">
              <w:rPr>
                <w:rFonts w:ascii="Georgia" w:hAnsi="Georgia"/>
                <w:sz w:val="22"/>
                <w:szCs w:val="22"/>
                <w:lang w:val="en-GB"/>
              </w:rPr>
              <w:t xml:space="preserve"> Other different MRI outcomes.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Tertiary endpoints</w:t>
            </w:r>
            <w:r w:rsidRPr="00F7606D">
              <w:rPr>
                <w:szCs w:val="22"/>
                <w:u w:val="single"/>
                <w:lang w:val="en-GB"/>
              </w:rPr>
              <w:t>:</w:t>
            </w:r>
            <w:r w:rsidRPr="00F7606D">
              <w:rPr>
                <w:szCs w:val="22"/>
                <w:lang w:val="en-GB"/>
              </w:rPr>
              <w:t xml:space="preserve"> Relapse rate, percentage of patients with relapse-free, steroid courses, relapse-related hospitalizations.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Cs/>
                <w:sz w:val="22"/>
                <w:szCs w:val="22"/>
                <w:u w:val="single"/>
                <w:lang w:val="en-GB"/>
              </w:rPr>
              <w:t>Definitions used for endpoints:</w:t>
            </w:r>
            <w:r w:rsidRPr="00F7606D">
              <w:rPr>
                <w:rFonts w:ascii="Georgia" w:hAnsi="Georgia"/>
                <w:i/>
                <w:iCs/>
                <w:sz w:val="22"/>
                <w:szCs w:val="22"/>
                <w:lang w:val="en-GB"/>
              </w:rPr>
              <w:t xml:space="preserve"> </w:t>
            </w:r>
            <w:r w:rsidRPr="00F7606D">
              <w:rPr>
                <w:rFonts w:ascii="Georgia" w:hAnsi="Georgia"/>
                <w:i/>
                <w:iCs/>
                <w:sz w:val="22"/>
                <w:szCs w:val="22"/>
                <w:u w:val="single"/>
                <w:lang w:val="en-GB"/>
              </w:rPr>
              <w:t>Relapses</w:t>
            </w:r>
            <w:r w:rsidRPr="00F7606D">
              <w:rPr>
                <w:rFonts w:ascii="Georgia" w:hAnsi="Georgia"/>
                <w:sz w:val="22"/>
                <w:szCs w:val="22"/>
                <w:u w:val="single"/>
                <w:lang w:val="en-GB"/>
              </w:rPr>
              <w:t>:</w:t>
            </w:r>
            <w:r w:rsidRPr="00F7606D">
              <w:rPr>
                <w:rFonts w:ascii="Georgia" w:hAnsi="Georgia"/>
                <w:sz w:val="22"/>
                <w:szCs w:val="22"/>
                <w:lang w:val="en-GB"/>
              </w:rPr>
              <w:t xml:space="preserve"> The appearance of one or more new neurological symptoms, or the reappearance of one or more previously experienced ones. An event was counted as a relapse only when the patient’s symptoms were accompanied by objective changes in the neurological examination corresponding to an increase of at least 0.5 points on the EDSS, or one grade in the score of the two or more functional systems, or two grades in one functional system.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9 months</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szCs w:val="22"/>
                <w:lang w:val="en-GB"/>
              </w:rPr>
            </w:pPr>
            <w:r w:rsidRPr="00F7606D">
              <w:rPr>
                <w:szCs w:val="22"/>
                <w:lang w:val="en-GB"/>
              </w:rPr>
              <w:t>Unclear (inadequate information to characterize)</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Randomization</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Allocation concealment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Double-blinding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Baseline characteristic similarity</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 measures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Withdrawals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6%</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ITT Analysis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Funding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 xml:space="preserve">Manufacturer </w:t>
            </w:r>
          </w:p>
        </w:tc>
      </w:tr>
    </w:tbl>
    <w:p w:rsidR="00EA7D99" w:rsidRPr="00F7606D" w:rsidRDefault="00EA7D99" w:rsidP="00EA7D99">
      <w:pPr>
        <w:spacing w:line="240" w:lineRule="auto"/>
        <w:contextualSpacing/>
        <w:jc w:val="both"/>
      </w:pPr>
    </w:p>
    <w:p w:rsidR="00EA7D99" w:rsidRPr="00F7606D" w:rsidRDefault="00EA7D99" w:rsidP="00746324">
      <w:pPr>
        <w:pStyle w:val="41"/>
        <w:numPr>
          <w:ilvl w:val="0"/>
          <w:numId w:val="0"/>
        </w:numPr>
        <w:spacing w:line="240" w:lineRule="auto"/>
        <w:contextualSpacing/>
        <w:rPr>
          <w:lang w:val="en-GB"/>
        </w:rPr>
      </w:pPr>
      <w:r w:rsidRPr="00F7606D">
        <w:rPr>
          <w:lang w:val="en-GB"/>
        </w:rPr>
        <w:t>REGARD (</w:t>
      </w:r>
      <w:r w:rsidRPr="00F7606D">
        <w:rPr>
          <w:rFonts w:eastAsiaTheme="minorHAnsi"/>
          <w:lang w:val="en-GB" w:eastAsia="en-US"/>
        </w:rPr>
        <w:t xml:space="preserve">REbif </w:t>
      </w:r>
      <w:r w:rsidRPr="00F7606D">
        <w:rPr>
          <w:rFonts w:eastAsiaTheme="minorHAnsi" w:cs="Shaker2Lancet-BoldItalic"/>
          <w:iCs/>
          <w:lang w:val="en-GB" w:eastAsia="en-US"/>
        </w:rPr>
        <w:t xml:space="preserve">vs </w:t>
      </w:r>
      <w:r w:rsidRPr="00F7606D">
        <w:rPr>
          <w:rFonts w:eastAsiaTheme="minorHAnsi"/>
          <w:lang w:val="en-GB" w:eastAsia="en-US"/>
        </w:rPr>
        <w:t>Glatiramer Acetate in Relapsing MS Disease)</w:t>
      </w:r>
      <w:r w:rsidRPr="00F7606D">
        <w:rPr>
          <w:lang w:val="en-GB"/>
        </w:rPr>
        <w:t xml:space="preserve"> study 2008, Mikol et al., </w:t>
      </w:r>
      <w:r w:rsidR="00204467" w:rsidRPr="00F7606D">
        <w:rPr>
          <w:lang w:val="en-GB"/>
        </w:rPr>
        <w:fldChar w:fldCharType="begin">
          <w:fldData xml:space="preserve">PEVuZE5vdGU+PENpdGU+PEF1dGhvcj5NaWtvbDwvQXV0aG9yPjxZZWFyPjIwMDg8L1llYXI+PFJl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</w:fldData>
        </w:fldChar>
      </w:r>
      <w:r w:rsidRPr="00F7606D">
        <w:rPr>
          <w:lang w:val="en-GB"/>
        </w:rPr>
        <w:instrText xml:space="preserve"> ADDIN EN.CITE </w:instrText>
      </w:r>
      <w:r w:rsidR="00204467" w:rsidRPr="00F7606D">
        <w:rPr>
          <w:lang w:val="en-GB"/>
        </w:rPr>
        <w:fldChar w:fldCharType="begin">
          <w:fldData xml:space="preserve">PEVuZE5vdGU+PENpdGU+PEF1dGhvcj5NaWtvbDwvQXV0aG9yPjxZZWFyPjIwMDg8L1llYXI+PFJl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</w:fldData>
        </w:fldChar>
      </w:r>
      <w:r w:rsidRPr="00F7606D">
        <w:rPr>
          <w:lang w:val="en-GB"/>
        </w:rPr>
        <w:instrText xml:space="preserve"> ADDIN EN.CITE.DATA </w:instrText>
      </w:r>
      <w:r w:rsidR="00204467" w:rsidRPr="00F7606D">
        <w:rPr>
          <w:lang w:val="en-GB"/>
        </w:rPr>
      </w:r>
      <w:r w:rsidR="00204467" w:rsidRPr="00F7606D">
        <w:rPr>
          <w:lang w:val="en-GB"/>
        </w:rPr>
        <w:fldChar w:fldCharType="end"/>
      </w:r>
      <w:r w:rsidR="00204467" w:rsidRPr="00F7606D">
        <w:rPr>
          <w:lang w:val="en-GB"/>
        </w:rPr>
      </w:r>
      <w:r w:rsidR="00204467" w:rsidRPr="00F7606D">
        <w:rPr>
          <w:lang w:val="en-GB"/>
        </w:rPr>
        <w:fldChar w:fldCharType="separate"/>
      </w:r>
      <w:r w:rsidRPr="00F7606D">
        <w:rPr>
          <w:noProof/>
          <w:lang w:val="en-GB"/>
        </w:rPr>
        <w:t>(</w:t>
      </w:r>
      <w:r w:rsidR="001E0F19">
        <w:rPr>
          <w:noProof/>
          <w:lang w:val="en-GB"/>
        </w:rPr>
        <w:t>2008</w:t>
      </w:r>
      <w:r w:rsidRPr="00F7606D">
        <w:rPr>
          <w:noProof/>
          <w:lang w:val="en-GB"/>
        </w:rPr>
        <w:t>)</w:t>
      </w:r>
      <w:r w:rsidR="00204467" w:rsidRPr="00F7606D">
        <w:rPr>
          <w:lang w:val="en-GB"/>
        </w:rPr>
        <w:fldChar w:fldCharType="end"/>
      </w:r>
      <w:r w:rsidRPr="00F7606D">
        <w:rPr>
          <w:lang w:val="en-GB"/>
        </w:rPr>
        <w:t xml:space="preserve">, in </w:t>
      </w:r>
      <w:r w:rsidR="00663354">
        <w:rPr>
          <w:lang w:val="en-GB"/>
        </w:rPr>
        <w:t>Tran</w:t>
      </w:r>
      <w:r w:rsidRPr="00F7606D">
        <w:rPr>
          <w:lang w:val="en-GB"/>
        </w:rPr>
        <w:t xml:space="preserve"> et al. </w:t>
      </w:r>
      <w:r w:rsidR="00204467" w:rsidRPr="00F7606D">
        <w:rPr>
          <w:lang w:val="en-GB"/>
        </w:rPr>
        <w:fldChar w:fldCharType="begin"/>
      </w:r>
      <w:r w:rsidR="001E0F19"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001E0F19" w:rsidRPr="00F7606D">
        <w:rPr>
          <w:noProof/>
          <w:lang w:val="en-GB"/>
        </w:rPr>
        <w:t>(</w:t>
      </w:r>
      <w:r w:rsidR="001E0F19">
        <w:rPr>
          <w:noProof/>
          <w:lang w:val="en-GB"/>
        </w:rPr>
        <w:t>2013</w:t>
      </w:r>
      <w:r w:rsidR="001E0F19" w:rsidRPr="00F7606D">
        <w:rPr>
          <w:noProof/>
          <w:lang w:val="en-GB"/>
        </w:rPr>
        <w:t>)</w:t>
      </w:r>
      <w:r w:rsidR="00204467" w:rsidRPr="00F7606D">
        <w:rPr>
          <w:lang w:val="en-GB"/>
        </w:rPr>
        <w:fldChar w:fldCharType="end"/>
      </w:r>
    </w:p>
    <w:tbl>
      <w:tblPr>
        <w:tblStyle w:val="afff"/>
        <w:tblW w:w="9351" w:type="dxa"/>
        <w:tblLook w:val="04A0"/>
      </w:tblPr>
      <w:tblGrid>
        <w:gridCol w:w="2547"/>
        <w:gridCol w:w="1699"/>
        <w:gridCol w:w="5105"/>
      </w:tblGrid>
      <w:tr w:rsidR="00EA7D99" w:rsidRPr="00F7606D" w:rsidTr="00EA7D99">
        <w:tc>
          <w:tcPr>
            <w:tcW w:w="25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RCT identification</w:t>
            </w:r>
          </w:p>
        </w:tc>
        <w:tc>
          <w:tcPr>
            <w:tcW w:w="680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ScalaLancetPro-Bold" w:cs="ScalaLancetPro-Bold"/>
                <w:bCs/>
                <w:szCs w:val="22"/>
                <w:lang w:val="en-GB" w:eastAsia="en-US"/>
              </w:rPr>
              <w:t>NCT00078338</w:t>
            </w:r>
          </w:p>
        </w:tc>
      </w:tr>
      <w:tr w:rsidR="00EA7D99" w:rsidRPr="00685670" w:rsidTr="00EA7D99">
        <w:tc>
          <w:tcPr>
            <w:tcW w:w="25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Study setting</w:t>
            </w:r>
          </w:p>
        </w:tc>
        <w:tc>
          <w:tcPr>
            <w:tcW w:w="680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rPr>
                <w:rFonts w:ascii="Georgia" w:hAnsi="Georgia"/>
                <w:sz w:val="22"/>
                <w:szCs w:val="22"/>
                <w:lang w:val="en-GB"/>
              </w:rPr>
            </w:pPr>
            <w:r w:rsidRPr="00F7606D">
              <w:rPr>
                <w:rFonts w:ascii="Georgia" w:hAnsi="Georgia"/>
                <w:sz w:val="22"/>
                <w:szCs w:val="22"/>
                <w:lang w:val="en-GB"/>
              </w:rPr>
              <w:t>Randomized comparative study. Open-label, rater-masked. 81 centres in 14 countries (e.g. Canada, South America, and Europe)</w:t>
            </w:r>
          </w:p>
        </w:tc>
      </w:tr>
      <w:tr w:rsidR="00EA7D99" w:rsidRPr="00685670" w:rsidTr="00EA7D99">
        <w:tc>
          <w:tcPr>
            <w:tcW w:w="254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 xml:space="preserve">Participants </w:t>
            </w:r>
          </w:p>
        </w:tc>
        <w:tc>
          <w:tcPr>
            <w:tcW w:w="680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Eligibility criteria</w:t>
            </w:r>
            <w:r w:rsidRPr="00F7606D">
              <w:rPr>
                <w:rFonts w:ascii="Georgia" w:hAnsi="Georgia"/>
                <w:sz w:val="22"/>
                <w:szCs w:val="22"/>
                <w:u w:val="single"/>
                <w:lang w:val="en-GB"/>
              </w:rPr>
              <w:t>:</w:t>
            </w:r>
            <w:r w:rsidRPr="00F7606D">
              <w:rPr>
                <w:rFonts w:ascii="Georgia" w:hAnsi="Georgia"/>
                <w:sz w:val="22"/>
                <w:szCs w:val="22"/>
                <w:lang w:val="en-GB"/>
              </w:rPr>
              <w:t xml:space="preserve"> Adult RRMS patients (McDonald criteria), EDSS = 0 to 5.5; had ≥ 1 relapse in the preceding 12 months, and clinically stable or neurologically improving during the 4 weeks before randomization.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rial"/>
                <w:i/>
                <w:iCs/>
                <w:color w:val="000000"/>
                <w:szCs w:val="22"/>
                <w:u w:val="single"/>
                <w:lang w:val="en-GB" w:eastAsia="en-US"/>
              </w:rPr>
              <w:t>Key exclusion criteria</w:t>
            </w:r>
            <w:r w:rsidRPr="00F7606D">
              <w:rPr>
                <w:rFonts w:eastAsiaTheme="minorHAnsi" w:cs="Arial"/>
                <w:color w:val="000000"/>
                <w:szCs w:val="22"/>
                <w:u w:val="single"/>
                <w:lang w:val="en-GB" w:eastAsia="en-US"/>
              </w:rPr>
              <w:t>:</w:t>
            </w:r>
            <w:r w:rsidRPr="00F7606D">
              <w:rPr>
                <w:rFonts w:eastAsiaTheme="minorHAnsi" w:cs="Arial"/>
                <w:color w:val="000000"/>
                <w:szCs w:val="22"/>
                <w:lang w:val="en-GB" w:eastAsia="en-US"/>
              </w:rPr>
              <w:t xml:space="preserve"> Pregnancy or breastfeeding; treatment with steroids or adrenocorticotropic hormone with the previous 4 weeks; previous treatment with </w:t>
            </w:r>
            <w:r w:rsidRPr="00F7606D">
              <w:rPr>
                <w:bCs/>
                <w:szCs w:val="22"/>
                <w:lang w:val="en-GB"/>
              </w:rPr>
              <w:t>interferon</w:t>
            </w:r>
            <w:r w:rsidRPr="00F7606D">
              <w:rPr>
                <w:rFonts w:eastAsiaTheme="minorHAnsi" w:cs="Arial"/>
                <w:color w:val="000000"/>
                <w:szCs w:val="22"/>
                <w:lang w:val="en-GB" w:eastAsia="en-US"/>
              </w:rPr>
              <w:t xml:space="preserve"> beta, glatiramer acetate, or cladribine; total lymphoid irradiation; plasma exchange within the previous 3 months; intravenous gamma-globulin use within the previous 6 months; cytokine or anti-cytokine therapy within the previous 3 months; or immunosuppressant use within the past 12 months.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AGaramond-R"/>
                <w:color w:val="231F20"/>
                <w:szCs w:val="22"/>
                <w:u w:val="single"/>
                <w:lang w:val="en-GB" w:eastAsia="en-US"/>
              </w:rPr>
            </w:pPr>
            <w:r w:rsidRPr="00F7606D">
              <w:rPr>
                <w:rFonts w:eastAsiaTheme="minorHAnsi" w:cs="AdvAGaramond-R"/>
                <w:i/>
                <w:color w:val="231F20"/>
                <w:szCs w:val="22"/>
                <w:u w:val="single"/>
                <w:lang w:val="en-GB" w:eastAsia="en-US"/>
              </w:rPr>
              <w:t>Baseline characteristics:</w:t>
            </w:r>
            <w:r w:rsidRPr="00F7606D">
              <w:rPr>
                <w:rFonts w:eastAsiaTheme="minorHAnsi" w:cs="AdvAGaramond-R"/>
                <w:color w:val="231F20"/>
                <w:szCs w:val="22"/>
                <w:lang w:val="en-GB" w:eastAsia="en-US"/>
              </w:rPr>
              <w:t xml:space="preserve"> Age: 37+/-10; 71% female; EDSS: 2.3+/-1.3 </w:t>
            </w:r>
          </w:p>
        </w:tc>
      </w:tr>
      <w:tr w:rsidR="00EA7D99" w:rsidRPr="00B4105F" w:rsidTr="00EA7D99">
        <w:tc>
          <w:tcPr>
            <w:tcW w:w="254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Intervention group</w:t>
            </w:r>
          </w:p>
        </w:tc>
        <w:tc>
          <w:tcPr>
            <w:tcW w:w="680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Glatiramer acetate 20 mg SC q.d. (n=378)</w:t>
            </w:r>
          </w:p>
        </w:tc>
      </w:tr>
      <w:tr w:rsidR="00EA7D99" w:rsidRPr="00685670" w:rsidTr="00EA7D99">
        <w:tc>
          <w:tcPr>
            <w:tcW w:w="25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Comparison group</w:t>
            </w:r>
          </w:p>
        </w:tc>
        <w:tc>
          <w:tcPr>
            <w:tcW w:w="680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Interferon beta-1a 44 mcg SC t.i.w. (n=386)</w:t>
            </w:r>
          </w:p>
        </w:tc>
      </w:tr>
      <w:tr w:rsidR="00EA7D99" w:rsidRPr="00E02224" w:rsidTr="00EA7D99">
        <w:tc>
          <w:tcPr>
            <w:tcW w:w="25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w:t>
            </w:r>
          </w:p>
        </w:tc>
        <w:tc>
          <w:tcPr>
            <w:tcW w:w="680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w:t>
            </w:r>
            <w:r w:rsidRPr="00F7606D">
              <w:rPr>
                <w:rFonts w:ascii="Georgia" w:hAnsi="Georgia"/>
                <w:sz w:val="22"/>
                <w:szCs w:val="22"/>
                <w:u w:val="single"/>
                <w:lang w:val="en-GB"/>
              </w:rPr>
              <w:t>:</w:t>
            </w:r>
            <w:r w:rsidRPr="00F7606D">
              <w:rPr>
                <w:rFonts w:ascii="Georgia" w:hAnsi="Georgia"/>
                <w:sz w:val="22"/>
                <w:szCs w:val="22"/>
                <w:lang w:val="en-GB"/>
              </w:rPr>
              <w:t xml:space="preserve"> Time to first relapse over 96 weeks. </w:t>
            </w: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Secondary endpoints</w:t>
            </w:r>
            <w:r w:rsidRPr="00F7606D">
              <w:rPr>
                <w:rFonts w:ascii="Georgia" w:hAnsi="Georgia"/>
                <w:sz w:val="22"/>
                <w:szCs w:val="22"/>
                <w:u w:val="single"/>
                <w:lang w:val="en-GB"/>
              </w:rPr>
              <w:t>:</w:t>
            </w:r>
            <w:r w:rsidRPr="00F7606D">
              <w:rPr>
                <w:rFonts w:ascii="Georgia" w:hAnsi="Georgia"/>
                <w:sz w:val="22"/>
                <w:szCs w:val="22"/>
                <w:lang w:val="en-GB"/>
              </w:rPr>
              <w:t xml:space="preserve"> Mean number T2 active lesions, mean number gadolinium-enhancing lesions, change in T2 lesion volume.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Tertiary endpoint</w:t>
            </w:r>
            <w:r w:rsidRPr="00F7606D">
              <w:rPr>
                <w:szCs w:val="22"/>
                <w:u w:val="single"/>
                <w:lang w:val="en-GB"/>
              </w:rPr>
              <w:t>:</w:t>
            </w:r>
            <w:r w:rsidRPr="00F7606D">
              <w:rPr>
                <w:szCs w:val="22"/>
                <w:lang w:val="en-GB"/>
              </w:rPr>
              <w:t xml:space="preserve"> Other MRI outcomes, relapse outcomes, disability progression.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Cs/>
                <w:sz w:val="22"/>
                <w:szCs w:val="22"/>
                <w:u w:val="single"/>
                <w:lang w:val="en-GB"/>
              </w:rPr>
              <w:t>Definitions used for endpoints:</w:t>
            </w:r>
            <w:r w:rsidRPr="00F7606D">
              <w:rPr>
                <w:rFonts w:ascii="Georgia" w:hAnsi="Georgia"/>
                <w:i/>
                <w:iCs/>
                <w:sz w:val="22"/>
                <w:szCs w:val="22"/>
                <w:lang w:val="en-GB"/>
              </w:rPr>
              <w:t xml:space="preserve"> </w:t>
            </w:r>
            <w:r w:rsidRPr="00F7606D">
              <w:rPr>
                <w:rFonts w:ascii="Georgia" w:hAnsi="Georgia"/>
                <w:i/>
                <w:iCs/>
                <w:sz w:val="22"/>
                <w:szCs w:val="22"/>
                <w:u w:val="single"/>
                <w:lang w:val="en-GB"/>
              </w:rPr>
              <w:t>Relapses</w:t>
            </w:r>
            <w:r w:rsidRPr="00F7606D">
              <w:rPr>
                <w:rFonts w:ascii="Georgia" w:hAnsi="Georgia"/>
                <w:sz w:val="22"/>
                <w:szCs w:val="22"/>
                <w:u w:val="single"/>
                <w:lang w:val="en-GB"/>
              </w:rPr>
              <w:t>:</w:t>
            </w:r>
            <w:r w:rsidRPr="00F7606D">
              <w:rPr>
                <w:rFonts w:ascii="Georgia" w:hAnsi="Georgia"/>
                <w:sz w:val="22"/>
                <w:szCs w:val="22"/>
                <w:lang w:val="en-GB"/>
              </w:rPr>
              <w:t xml:space="preserve"> New or worsening neurological symptoms, without fever, that lasted for 48 hours or more and accompanied by a change in the Kurtzke Functional Systems Scores.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Disability progression</w:t>
            </w:r>
            <w:r w:rsidRPr="00F7606D">
              <w:rPr>
                <w:szCs w:val="22"/>
                <w:u w:val="single"/>
                <w:lang w:val="en-GB"/>
              </w:rPr>
              <w:t>:</w:t>
            </w:r>
            <w:r w:rsidRPr="00F7606D">
              <w:rPr>
                <w:szCs w:val="22"/>
                <w:lang w:val="en-GB"/>
              </w:rPr>
              <w:t xml:space="preserve"> Disability progression at the 6-month follow-up visit was confirmed, as follows — if the EDSS score at the baseline was 0, then a change of 1.5 points or more was required; if the EDSS was 0.5 - 4.5 at baseline, then a change of 1.0 point or more was required; and if the EDSS at baseline was 5 points or more, then the change required was 0.5 points or more. </w:t>
            </w:r>
          </w:p>
        </w:tc>
      </w:tr>
      <w:tr w:rsidR="00EA7D99" w:rsidRPr="00F7606D" w:rsidTr="00EA7D99">
        <w:tc>
          <w:tcPr>
            <w:tcW w:w="254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Follow-up</w:t>
            </w:r>
          </w:p>
        </w:tc>
        <w:tc>
          <w:tcPr>
            <w:tcW w:w="680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96 weeks</w:t>
            </w:r>
          </w:p>
        </w:tc>
      </w:tr>
      <w:tr w:rsidR="00EA7D99" w:rsidRPr="00E02224" w:rsidTr="00EA7D99">
        <w:tc>
          <w:tcPr>
            <w:tcW w:w="254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Treatment history</w:t>
            </w:r>
          </w:p>
        </w:tc>
        <w:tc>
          <w:tcPr>
            <w:tcW w:w="680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 xml:space="preserve">Treatment-naive (based on inclusion criteria, year of study, and clinical expert input). </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Randomization</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Allocation concealment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Double-blinding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Baseline characteristic similarity</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 measures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Withdrawals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18%</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ITT Analysis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Funding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Manufacturer</w:t>
            </w:r>
          </w:p>
        </w:tc>
      </w:tr>
    </w:tbl>
    <w:p w:rsidR="00EA7D99" w:rsidRPr="00F7606D" w:rsidRDefault="00EA7D99" w:rsidP="00EA7D99">
      <w:pPr>
        <w:spacing w:line="240" w:lineRule="auto"/>
        <w:rPr>
          <w:b/>
          <w:i/>
          <w:szCs w:val="28"/>
        </w:rPr>
      </w:pPr>
      <w:r w:rsidRPr="00F7606D">
        <w:br w:type="page"/>
      </w:r>
    </w:p>
    <w:p w:rsidR="00EA7D99" w:rsidRPr="00F7606D" w:rsidRDefault="00EA7D99" w:rsidP="00746324">
      <w:pPr>
        <w:pStyle w:val="41"/>
        <w:numPr>
          <w:ilvl w:val="0"/>
          <w:numId w:val="0"/>
        </w:numPr>
        <w:spacing w:line="240" w:lineRule="auto"/>
        <w:contextualSpacing/>
        <w:rPr>
          <w:lang w:val="en-GB"/>
        </w:rPr>
      </w:pPr>
      <w:r w:rsidRPr="00F7606D">
        <w:rPr>
          <w:lang w:val="en-GB"/>
        </w:rPr>
        <w:t>BECOME (</w:t>
      </w:r>
      <w:r w:rsidRPr="00F7606D">
        <w:rPr>
          <w:rFonts w:eastAsiaTheme="minorHAnsi" w:cs="AGaramond-Regular"/>
          <w:lang w:val="en-GB" w:eastAsia="en-US"/>
        </w:rPr>
        <w:t>Betaseron vs Copaxone in Multiple Sclerosis with Triple-Dose Gadolinium and 3-Tesla MRI Endpoints</w:t>
      </w:r>
      <w:r w:rsidRPr="00F7606D">
        <w:rPr>
          <w:lang w:val="en-GB"/>
        </w:rPr>
        <w:t>) study 2009, Cadavid et al.</w:t>
      </w:r>
      <w:r w:rsidR="00204467" w:rsidRPr="00F7606D">
        <w:rPr>
          <w:lang w:val="en-GB"/>
        </w:rPr>
        <w:fldChar w:fldCharType="begin">
          <w:fldData xml:space="preserve">PEVuZE5vdGU+PENpdGU+PEF1dGhvcj5DYWRhdmlkPC9BdXRob3I+PFllYXI+MjAwOTwvWWVhcj48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</w:fldData>
        </w:fldChar>
      </w:r>
      <w:r w:rsidRPr="00F7606D">
        <w:rPr>
          <w:lang w:val="en-GB"/>
        </w:rPr>
        <w:instrText xml:space="preserve"> ADDIN EN.CITE </w:instrText>
      </w:r>
      <w:r w:rsidR="00204467" w:rsidRPr="00F7606D">
        <w:rPr>
          <w:lang w:val="en-GB"/>
        </w:rPr>
        <w:fldChar w:fldCharType="begin">
          <w:fldData xml:space="preserve">PEVuZE5vdGU+PENpdGU+PEF1dGhvcj5DYWRhdmlkPC9BdXRob3I+PFllYXI+MjAwOTwvWWVhcj48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</w:fldData>
        </w:fldChar>
      </w:r>
      <w:r w:rsidRPr="00F7606D">
        <w:rPr>
          <w:lang w:val="en-GB"/>
        </w:rPr>
        <w:instrText xml:space="preserve"> ADDIN EN.CITE.DATA </w:instrText>
      </w:r>
      <w:r w:rsidR="00204467" w:rsidRPr="00F7606D">
        <w:rPr>
          <w:lang w:val="en-GB"/>
        </w:rPr>
      </w:r>
      <w:r w:rsidR="00204467" w:rsidRPr="00F7606D">
        <w:rPr>
          <w:lang w:val="en-GB"/>
        </w:rPr>
        <w:fldChar w:fldCharType="end"/>
      </w:r>
      <w:r w:rsidR="00204467" w:rsidRPr="00F7606D">
        <w:rPr>
          <w:lang w:val="en-GB"/>
        </w:rPr>
      </w:r>
      <w:r w:rsidR="00204467" w:rsidRPr="00F7606D">
        <w:rPr>
          <w:lang w:val="en-GB"/>
        </w:rPr>
        <w:fldChar w:fldCharType="separate"/>
      </w:r>
      <w:r w:rsidRPr="00F7606D">
        <w:rPr>
          <w:noProof/>
          <w:lang w:val="en-GB"/>
        </w:rPr>
        <w:t>(</w:t>
      </w:r>
      <w:r w:rsidR="001E0F19">
        <w:rPr>
          <w:noProof/>
          <w:lang w:val="en-GB"/>
        </w:rPr>
        <w:t>2009</w:t>
      </w:r>
      <w:r w:rsidRPr="00F7606D">
        <w:rPr>
          <w:noProof/>
          <w:lang w:val="en-GB"/>
        </w:rPr>
        <w:t>)</w:t>
      </w:r>
      <w:r w:rsidR="00204467" w:rsidRPr="00F7606D">
        <w:rPr>
          <w:lang w:val="en-GB"/>
        </w:rPr>
        <w:fldChar w:fldCharType="end"/>
      </w:r>
      <w:r w:rsidRPr="00F7606D">
        <w:rPr>
          <w:lang w:val="en-GB"/>
        </w:rPr>
        <w:t xml:space="preserve">, included in </w:t>
      </w:r>
      <w:r w:rsidR="00663354">
        <w:rPr>
          <w:lang w:val="en-GB"/>
        </w:rPr>
        <w:t>Tran</w:t>
      </w:r>
      <w:r w:rsidRPr="00F7606D">
        <w:rPr>
          <w:lang w:val="en-GB"/>
        </w:rPr>
        <w:t xml:space="preserve"> et al. </w:t>
      </w:r>
      <w:r w:rsidR="00204467" w:rsidRPr="00F7606D">
        <w:rPr>
          <w:lang w:val="en-GB"/>
        </w:rPr>
        <w:fldChar w:fldCharType="begin"/>
      </w:r>
      <w:r w:rsidR="001E0F19"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001E0F19" w:rsidRPr="00F7606D">
        <w:rPr>
          <w:noProof/>
          <w:lang w:val="en-GB"/>
        </w:rPr>
        <w:t>(</w:t>
      </w:r>
      <w:r w:rsidR="001E0F19">
        <w:rPr>
          <w:noProof/>
          <w:lang w:val="en-GB"/>
        </w:rPr>
        <w:t>2013</w:t>
      </w:r>
      <w:r w:rsidR="001E0F19" w:rsidRPr="00F7606D">
        <w:rPr>
          <w:noProof/>
          <w:lang w:val="en-GB"/>
        </w:rPr>
        <w:t>)</w:t>
      </w:r>
      <w:r w:rsidR="00204467" w:rsidRPr="00F7606D">
        <w:rPr>
          <w:lang w:val="en-GB"/>
        </w:rPr>
        <w:fldChar w:fldCharType="end"/>
      </w:r>
    </w:p>
    <w:tbl>
      <w:tblPr>
        <w:tblStyle w:val="afff"/>
        <w:tblW w:w="9351" w:type="dxa"/>
        <w:tblLook w:val="04A0"/>
      </w:tblPr>
      <w:tblGrid>
        <w:gridCol w:w="2687"/>
        <w:gridCol w:w="1559"/>
        <w:gridCol w:w="5105"/>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cs="AGaramond-Regular"/>
                <w:szCs w:val="22"/>
                <w:lang w:val="en-GB" w:eastAsia="en-US"/>
              </w:rPr>
              <w:t>NCT00176592</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 xml:space="preserve">Rater-blinded, randomized controlled trial. In one centre in the US. </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Eligibility criteria</w:t>
            </w:r>
            <w:r w:rsidRPr="00F7606D">
              <w:rPr>
                <w:rFonts w:ascii="Georgia" w:hAnsi="Georgia"/>
                <w:i/>
                <w:sz w:val="22"/>
                <w:szCs w:val="22"/>
                <w:u w:val="single"/>
                <w:lang w:val="en-GB"/>
              </w:rPr>
              <w:t>:</w:t>
            </w:r>
            <w:r w:rsidRPr="00F7606D">
              <w:rPr>
                <w:rFonts w:ascii="Georgia" w:hAnsi="Georgia"/>
                <w:sz w:val="22"/>
                <w:szCs w:val="22"/>
                <w:lang w:val="en-GB"/>
              </w:rPr>
              <w:t xml:space="preserve"> Age = 18 years to 55 years; treatment-naïve patients with RRMS (79%) or CIS (21%) suggestive of MS.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szCs w:val="22"/>
                <w:lang w:val="en-GB"/>
              </w:rPr>
              <w:t>Exclusion criteria: Not reported.</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i/>
                <w:szCs w:val="22"/>
                <w:u w:val="single"/>
                <w:lang w:val="en-GB"/>
              </w:rPr>
              <w:t xml:space="preserve">Baseline characteristics: </w:t>
            </w:r>
            <w:r w:rsidRPr="00F7606D">
              <w:rPr>
                <w:bCs/>
                <w:i/>
                <w:szCs w:val="22"/>
                <w:u w:val="single"/>
                <w:lang w:val="en-GB"/>
              </w:rPr>
              <w:t>in interferon beta-1b</w:t>
            </w:r>
            <w:r w:rsidRPr="00F7606D">
              <w:rPr>
                <w:bCs/>
                <w:szCs w:val="22"/>
                <w:lang w:val="en-GB"/>
              </w:rPr>
              <w:t xml:space="preserve"> </w:t>
            </w:r>
            <w:r w:rsidRPr="00F7606D">
              <w:rPr>
                <w:rFonts w:eastAsiaTheme="minorHAnsi" w:cs="AdvP641C"/>
                <w:i/>
                <w:szCs w:val="22"/>
                <w:u w:val="single"/>
                <w:lang w:val="en-GB" w:eastAsia="en-US"/>
              </w:rPr>
              <w:t>group:</w:t>
            </w:r>
            <w:r w:rsidRPr="00F7606D">
              <w:rPr>
                <w:rFonts w:eastAsiaTheme="minorHAnsi" w:cs="AdvP641C"/>
                <w:i/>
                <w:szCs w:val="22"/>
                <w:lang w:val="en-GB" w:eastAsia="en-US"/>
              </w:rPr>
              <w:t xml:space="preserve"> </w:t>
            </w:r>
            <w:r w:rsidRPr="00F7606D">
              <w:rPr>
                <w:rFonts w:eastAsiaTheme="minorHAnsi" w:cs="AdvP641C"/>
                <w:szCs w:val="22"/>
                <w:lang w:val="en-GB" w:eastAsia="en-US"/>
              </w:rPr>
              <w:t>mean (range) age 36(18-49); 75% female; EDSS median(range) 2,0 (0-5).</w:t>
            </w:r>
          </w:p>
        </w:tc>
      </w:tr>
      <w:tr w:rsidR="00EA7D99" w:rsidRPr="00B4105F"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 xml:space="preserve">Glatiramer acetate 20 mg SC q.d. </w:t>
            </w:r>
            <w:r w:rsidRPr="00B4105F">
              <w:rPr>
                <w:rFonts w:ascii="Georgia" w:hAnsi="Georgia"/>
                <w:sz w:val="22"/>
                <w:szCs w:val="22"/>
                <w:lang w:val="pt-PT"/>
              </w:rPr>
              <w:t xml:space="preserve">(n = 39)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bCs/>
                <w:sz w:val="22"/>
                <w:szCs w:val="22"/>
                <w:lang w:val="en-GB"/>
              </w:rPr>
              <w:t xml:space="preserve">Interferon beta-1b 250 mcg SC every other day </w:t>
            </w:r>
            <w:r w:rsidRPr="00F7606D">
              <w:rPr>
                <w:rFonts w:ascii="Georgia" w:hAnsi="Georgia"/>
                <w:sz w:val="22"/>
                <w:szCs w:val="22"/>
                <w:lang w:val="en-GB"/>
              </w:rPr>
              <w:t>(n = 36)</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sz w:val="22"/>
                <w:szCs w:val="22"/>
                <w:u w:val="single"/>
                <w:lang w:val="en-GB"/>
              </w:rPr>
              <w:t>Primary endpoints:</w:t>
            </w:r>
            <w:r w:rsidRPr="00F7606D">
              <w:rPr>
                <w:rFonts w:ascii="Georgia" w:hAnsi="Georgia"/>
                <w:sz w:val="22"/>
                <w:szCs w:val="22"/>
                <w:lang w:val="en-GB"/>
              </w:rPr>
              <w:t xml:space="preserve"> Different MRI outcomes at 1 and 2 years. Confirmed relapse occurrences (annualized relapse rate, percent relapse-free).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Garamond-Regular"/>
                <w:szCs w:val="22"/>
                <w:lang w:val="en-GB" w:eastAsia="en-US"/>
              </w:rPr>
            </w:pPr>
            <w:r w:rsidRPr="00F7606D">
              <w:rPr>
                <w:szCs w:val="22"/>
                <w:u w:val="single"/>
                <w:lang w:val="en-GB"/>
              </w:rPr>
              <w:t>Definitions used for:</w:t>
            </w:r>
            <w:r w:rsidRPr="00F7606D">
              <w:rPr>
                <w:szCs w:val="22"/>
                <w:lang w:val="en-GB"/>
              </w:rPr>
              <w:t xml:space="preserve"> </w:t>
            </w:r>
            <w:r w:rsidRPr="00F7606D">
              <w:rPr>
                <w:i/>
                <w:iCs/>
                <w:szCs w:val="22"/>
                <w:u w:val="single"/>
                <w:lang w:val="en-GB"/>
              </w:rPr>
              <w:t>Relapses</w:t>
            </w:r>
            <w:r w:rsidRPr="00F7606D">
              <w:rPr>
                <w:szCs w:val="22"/>
                <w:u w:val="single"/>
                <w:lang w:val="en-GB"/>
              </w:rPr>
              <w:t>:</w:t>
            </w:r>
            <w:r w:rsidRPr="00F7606D">
              <w:rPr>
                <w:szCs w:val="22"/>
                <w:lang w:val="en-GB"/>
              </w:rPr>
              <w:t xml:space="preserve"> All new or worsening symptoms lasting ≥ 24 hours and not explained by fever or infection that were confirmed by a blinded examining neurologist using worsening scores on SNRS or EDSS. : </w:t>
            </w:r>
            <w:r w:rsidRPr="00F7606D">
              <w:rPr>
                <w:rFonts w:eastAsiaTheme="minorHAnsi" w:cs="AGaramond-Regular"/>
                <w:szCs w:val="22"/>
                <w:lang w:val="en-GB" w:eastAsia="en-US"/>
              </w:rPr>
              <w:t xml:space="preserve">required for relapse confirmation: 1) increase in total EDSS by </w:t>
            </w:r>
            <w:r w:rsidRPr="00F7606D">
              <w:rPr>
                <w:rFonts w:eastAsiaTheme="minorHAnsi" w:cs="MathematicalPi-One"/>
                <w:szCs w:val="22"/>
                <w:lang w:val="en-GB" w:eastAsia="en-US"/>
              </w:rPr>
              <w:t>_</w:t>
            </w:r>
            <w:r w:rsidRPr="00F7606D">
              <w:rPr>
                <w:rFonts w:eastAsiaTheme="minorHAnsi" w:cs="AGaramond-Regular"/>
                <w:szCs w:val="22"/>
                <w:lang w:val="en-GB" w:eastAsia="en-US"/>
              </w:rPr>
              <w:t xml:space="preserve">0.5 point; 2) increase in the EDSS score for one system </w:t>
            </w:r>
            <w:r w:rsidRPr="00F7606D">
              <w:rPr>
                <w:rFonts w:eastAsiaTheme="minorHAnsi" w:cs="MathematicalPi-One"/>
                <w:szCs w:val="22"/>
                <w:lang w:val="en-GB" w:eastAsia="en-US"/>
              </w:rPr>
              <w:t>_</w:t>
            </w:r>
            <w:r w:rsidRPr="00F7606D">
              <w:rPr>
                <w:rFonts w:eastAsiaTheme="minorHAnsi" w:cs="AGaramond-Regular"/>
                <w:szCs w:val="22"/>
                <w:lang w:val="en-GB" w:eastAsia="en-US"/>
              </w:rPr>
              <w:t xml:space="preserve">2 points; 3) increase in the score of 2 or more EDSS systems </w:t>
            </w:r>
            <w:r w:rsidRPr="00F7606D">
              <w:rPr>
                <w:rFonts w:eastAsiaTheme="minorHAnsi" w:cs="MathematicalPi-One"/>
                <w:szCs w:val="22"/>
                <w:lang w:val="en-GB" w:eastAsia="en-US"/>
              </w:rPr>
              <w:t>_</w:t>
            </w:r>
            <w:r w:rsidRPr="00F7606D">
              <w:rPr>
                <w:rFonts w:eastAsiaTheme="minorHAnsi" w:cs="AGaramond-Regular"/>
                <w:szCs w:val="22"/>
                <w:lang w:val="en-GB" w:eastAsia="en-US"/>
              </w:rPr>
              <w:t>1 point;</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2 years</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 xml:space="preserve">Treatment-naive (based on reported baseline characteristics). </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Randomization</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Insufficient reporting</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Allocation concealment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Not reported</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Double-blinding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 (but rater blinded)</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Baseline characteristic similarity</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 measures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Withdrawals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15%</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ITT Analysis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Funding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Manufacturer</w:t>
            </w:r>
          </w:p>
        </w:tc>
      </w:tr>
    </w:tbl>
    <w:p w:rsidR="00EA7D99" w:rsidRPr="00F7606D" w:rsidRDefault="00EA7D99" w:rsidP="00EA7D99">
      <w:pPr>
        <w:spacing w:line="240" w:lineRule="auto"/>
        <w:contextualSpacing/>
        <w:jc w:val="both"/>
      </w:pPr>
    </w:p>
    <w:p w:rsidR="00EA7D99" w:rsidRPr="00F7606D" w:rsidRDefault="00EA7D99" w:rsidP="00EA7D99">
      <w:pPr>
        <w:spacing w:after="160" w:line="240" w:lineRule="auto"/>
        <w:contextualSpacing/>
      </w:pPr>
    </w:p>
    <w:p w:rsidR="00EA7D99" w:rsidRPr="00F7606D" w:rsidRDefault="00EA7D99" w:rsidP="00746324">
      <w:pPr>
        <w:pStyle w:val="41"/>
        <w:numPr>
          <w:ilvl w:val="0"/>
          <w:numId w:val="0"/>
        </w:numPr>
        <w:spacing w:line="240" w:lineRule="auto"/>
        <w:contextualSpacing/>
        <w:rPr>
          <w:lang w:val="en-GB"/>
        </w:rPr>
      </w:pPr>
      <w:r w:rsidRPr="00F7606D">
        <w:rPr>
          <w:lang w:val="en-GB"/>
        </w:rPr>
        <w:t>BEYOND (</w:t>
      </w:r>
      <w:r w:rsidRPr="00F7606D">
        <w:rPr>
          <w:rFonts w:eastAsia="ScalaLancetPro-Bold"/>
          <w:lang w:val="en-GB"/>
        </w:rPr>
        <w:t>Betaferon Effi cacy Yielding Outcomes of a New Dose</w:t>
      </w:r>
      <w:r w:rsidRPr="00F7606D">
        <w:rPr>
          <w:lang w:val="en-GB"/>
        </w:rPr>
        <w:t xml:space="preserve">) study 2009, O’Connor et al. </w:t>
      </w:r>
      <w:r w:rsidR="00204467" w:rsidRPr="00F7606D">
        <w:rPr>
          <w:lang w:val="en-GB"/>
        </w:rPr>
        <w:fldChar w:fldCharType="begin">
          <w:fldData xml:space="preserve">PEVuZE5vdGU+PENpdGU+PEF1dGhvcj5PJmFwb3M7Q29ubm9yPC9BdXRob3I+PFllYXI+MjAwOTwv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==
</w:fldData>
        </w:fldChar>
      </w:r>
      <w:r w:rsidRPr="00F7606D">
        <w:rPr>
          <w:lang w:val="en-GB"/>
        </w:rPr>
        <w:instrText xml:space="preserve"> ADDIN EN.CITE </w:instrText>
      </w:r>
      <w:r w:rsidR="00204467" w:rsidRPr="00F7606D">
        <w:rPr>
          <w:lang w:val="en-GB"/>
        </w:rPr>
        <w:fldChar w:fldCharType="begin">
          <w:fldData xml:space="preserve">PEVuZE5vdGU+PENpdGU+PEF1dGhvcj5PJmFwb3M7Q29ubm9yPC9BdXRob3I+PFllYXI+MjAwOTwv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==
</w:fldData>
        </w:fldChar>
      </w:r>
      <w:r w:rsidRPr="00F7606D">
        <w:rPr>
          <w:lang w:val="en-GB"/>
        </w:rPr>
        <w:instrText xml:space="preserve"> ADDIN EN.CITE.DATA </w:instrText>
      </w:r>
      <w:r w:rsidR="00204467" w:rsidRPr="00F7606D">
        <w:rPr>
          <w:lang w:val="en-GB"/>
        </w:rPr>
      </w:r>
      <w:r w:rsidR="00204467" w:rsidRPr="00F7606D">
        <w:rPr>
          <w:lang w:val="en-GB"/>
        </w:rPr>
        <w:fldChar w:fldCharType="end"/>
      </w:r>
      <w:r w:rsidR="00204467" w:rsidRPr="00F7606D">
        <w:rPr>
          <w:lang w:val="en-GB"/>
        </w:rPr>
      </w:r>
      <w:r w:rsidR="00204467" w:rsidRPr="00F7606D">
        <w:rPr>
          <w:lang w:val="en-GB"/>
        </w:rPr>
        <w:fldChar w:fldCharType="separate"/>
      </w:r>
      <w:r w:rsidRPr="00F7606D">
        <w:rPr>
          <w:noProof/>
          <w:lang w:val="en-GB"/>
        </w:rPr>
        <w:t>(</w:t>
      </w:r>
      <w:r w:rsidR="001E0F19">
        <w:rPr>
          <w:noProof/>
          <w:lang w:val="en-GB"/>
        </w:rPr>
        <w:t>2009</w:t>
      </w:r>
      <w:r w:rsidRPr="00F7606D">
        <w:rPr>
          <w:noProof/>
          <w:lang w:val="en-GB"/>
        </w:rPr>
        <w:t>)</w:t>
      </w:r>
      <w:r w:rsidR="00204467" w:rsidRPr="00F7606D">
        <w:rPr>
          <w:lang w:val="en-GB"/>
        </w:rPr>
        <w:fldChar w:fldCharType="end"/>
      </w:r>
      <w:r w:rsidRPr="00F7606D">
        <w:rPr>
          <w:lang w:val="en-GB"/>
        </w:rPr>
        <w:t xml:space="preserve">, included in </w:t>
      </w:r>
      <w:r w:rsidR="00663354">
        <w:rPr>
          <w:lang w:val="en-GB"/>
        </w:rPr>
        <w:t>Tran</w:t>
      </w:r>
      <w:r w:rsidRPr="00F7606D">
        <w:rPr>
          <w:lang w:val="en-GB"/>
        </w:rPr>
        <w:t xml:space="preserve"> et al. </w:t>
      </w:r>
      <w:r w:rsidR="00204467" w:rsidRPr="00F7606D">
        <w:rPr>
          <w:lang w:val="en-GB"/>
        </w:rPr>
        <w:fldChar w:fldCharType="begin"/>
      </w:r>
      <w:r w:rsidR="001E0F19"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001E0F19" w:rsidRPr="00F7606D">
        <w:rPr>
          <w:noProof/>
          <w:lang w:val="en-GB"/>
        </w:rPr>
        <w:t>(</w:t>
      </w:r>
      <w:r w:rsidR="001E0F19">
        <w:rPr>
          <w:noProof/>
          <w:lang w:val="en-GB"/>
        </w:rPr>
        <w:t>2013</w:t>
      </w:r>
      <w:r w:rsidR="001E0F19" w:rsidRPr="00F7606D">
        <w:rPr>
          <w:noProof/>
          <w:lang w:val="en-GB"/>
        </w:rPr>
        <w:t>)</w:t>
      </w:r>
      <w:r w:rsidR="00204467" w:rsidRPr="00F7606D">
        <w:rPr>
          <w:lang w:val="en-GB"/>
        </w:rPr>
        <w:fldChar w:fldCharType="end"/>
      </w:r>
    </w:p>
    <w:tbl>
      <w:tblPr>
        <w:tblStyle w:val="afff"/>
        <w:tblW w:w="9351" w:type="dxa"/>
        <w:tblLook w:val="04A0"/>
      </w:tblPr>
      <w:tblGrid>
        <w:gridCol w:w="2687"/>
        <w:gridCol w:w="1559"/>
        <w:gridCol w:w="5105"/>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ScalaLancetPro-Bold" w:cs="ScalaLancetPro-Bold"/>
                <w:bCs/>
                <w:szCs w:val="22"/>
                <w:lang w:val="en-GB" w:eastAsia="en-US"/>
              </w:rPr>
              <w:t>NCT00099502</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A rater-blinded, randomized controlled trial in 198 centres in 26 countries worldwide.</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rial"/>
                <w:szCs w:val="22"/>
                <w:lang w:val="en-GB" w:eastAsia="en-US"/>
              </w:rPr>
            </w:pPr>
            <w:r w:rsidRPr="00F7606D">
              <w:rPr>
                <w:rFonts w:eastAsiaTheme="minorHAnsi" w:cs="Arial"/>
                <w:i/>
                <w:iCs/>
                <w:szCs w:val="22"/>
                <w:u w:val="single"/>
                <w:lang w:val="en-GB" w:eastAsia="en-US"/>
              </w:rPr>
              <w:t>Eligibility criteria</w:t>
            </w:r>
            <w:r w:rsidRPr="00F7606D">
              <w:rPr>
                <w:rFonts w:eastAsiaTheme="minorHAnsi" w:cs="Arial"/>
                <w:szCs w:val="22"/>
                <w:u w:val="single"/>
                <w:lang w:val="en-GB" w:eastAsia="en-US"/>
              </w:rPr>
              <w:t>:</w:t>
            </w:r>
            <w:r w:rsidRPr="00F7606D">
              <w:rPr>
                <w:rFonts w:eastAsiaTheme="minorHAnsi" w:cs="Arial"/>
                <w:szCs w:val="22"/>
                <w:lang w:val="en-GB" w:eastAsia="en-US"/>
              </w:rPr>
              <w:t xml:space="preserve"> Age = 18 years to 55 years, diagnosis of RRMS (McDonald criteria), EDSS = 0 to 5.0; with &gt;=1 relapse in the year before entry into the study.</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rial"/>
                <w:szCs w:val="22"/>
                <w:lang w:val="en-GB" w:eastAsia="en-US"/>
              </w:rPr>
            </w:pPr>
            <w:r w:rsidRPr="00F7606D">
              <w:rPr>
                <w:rFonts w:eastAsiaTheme="minorHAnsi" w:cs="Arial"/>
                <w:i/>
                <w:iCs/>
                <w:szCs w:val="22"/>
                <w:u w:val="single"/>
                <w:lang w:val="en-GB" w:eastAsia="en-US"/>
              </w:rPr>
              <w:t>Key exclusion criteria</w:t>
            </w:r>
            <w:r w:rsidRPr="00F7606D">
              <w:rPr>
                <w:rFonts w:eastAsiaTheme="minorHAnsi" w:cs="Arial"/>
                <w:szCs w:val="22"/>
                <w:u w:val="single"/>
                <w:lang w:val="en-GB" w:eastAsia="en-US"/>
              </w:rPr>
              <w:t>:</w:t>
            </w:r>
            <w:r w:rsidRPr="00F7606D">
              <w:rPr>
                <w:rFonts w:eastAsiaTheme="minorHAnsi" w:cs="Arial"/>
                <w:szCs w:val="22"/>
                <w:lang w:val="en-GB" w:eastAsia="en-US"/>
              </w:rPr>
              <w:t xml:space="preserve"> Those who had signs or symptoms of other diseases not MS; progressive forms of MS; heart disease; treatment-experienced or participated in the previous trials of drug for MS; history of severe depression; alcohol or drug misuse; suicide attempts; serious or acute live, renal, or bone marrow dysfunction; monoclonal gammaglobulinopathy, or uncontrolled epilepsy; contraindication or allergy to the drug used in the study; unable to have MRI.</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P641C"/>
                <w:i/>
                <w:szCs w:val="22"/>
                <w:u w:val="single"/>
                <w:lang w:val="en-GB" w:eastAsia="en-US"/>
              </w:rPr>
              <w:t xml:space="preserve">Baseline characteristics in </w:t>
            </w:r>
            <w:r w:rsidRPr="00F7606D">
              <w:rPr>
                <w:bCs/>
                <w:i/>
                <w:szCs w:val="22"/>
                <w:u w:val="single"/>
                <w:lang w:val="en-GB"/>
              </w:rPr>
              <w:t>glatiramer acetate</w:t>
            </w:r>
            <w:r w:rsidRPr="00F7606D">
              <w:rPr>
                <w:rFonts w:eastAsiaTheme="minorHAnsi" w:cs="AdvP641C"/>
                <w:i/>
                <w:szCs w:val="22"/>
                <w:u w:val="single"/>
                <w:lang w:val="en-GB" w:eastAsia="en-US"/>
              </w:rPr>
              <w:t xml:space="preserve"> group:</w:t>
            </w:r>
            <w:r w:rsidRPr="00F7606D">
              <w:rPr>
                <w:rFonts w:eastAsiaTheme="minorHAnsi" w:cs="AdvP641C"/>
                <w:szCs w:val="22"/>
                <w:lang w:val="en-GB" w:eastAsia="en-US"/>
              </w:rPr>
              <w:t xml:space="preserve"> median (range) age 35 (27-43); 68% female; EDSS median (range) 2 (1,5-3,0) mean 2,28</w:t>
            </w:r>
          </w:p>
        </w:tc>
      </w:tr>
      <w:tr w:rsidR="00EA7D99" w:rsidRPr="00B4105F"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 xml:space="preserve">Glatiramer acetate 20 mg SC q.d. </w:t>
            </w:r>
            <w:r w:rsidRPr="00B4105F">
              <w:rPr>
                <w:rFonts w:ascii="Georgia" w:hAnsi="Georgia"/>
                <w:sz w:val="22"/>
                <w:szCs w:val="22"/>
                <w:lang w:val="pt-PT"/>
              </w:rPr>
              <w:t xml:space="preserve">(n = 448)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bCs/>
                <w:sz w:val="22"/>
                <w:szCs w:val="22"/>
                <w:lang w:val="en-GB"/>
              </w:rPr>
              <w:t xml:space="preserve">Interferon beta-1b 250 mcg SC every other day </w:t>
            </w:r>
            <w:r w:rsidRPr="00F7606D">
              <w:rPr>
                <w:rFonts w:ascii="Georgia" w:hAnsi="Georgia"/>
                <w:sz w:val="22"/>
                <w:szCs w:val="22"/>
                <w:lang w:val="en-GB"/>
              </w:rPr>
              <w:t xml:space="preserve">(n = 897) </w:t>
            </w:r>
          </w:p>
          <w:p w:rsidR="00EA7D99" w:rsidRPr="00F7606D" w:rsidRDefault="00EA7D99" w:rsidP="00EA7D99">
            <w:pPr>
              <w:pStyle w:val="Default"/>
              <w:contextualSpacing/>
              <w:jc w:val="both"/>
              <w:rPr>
                <w:rFonts w:ascii="Georgia" w:hAnsi="Georgia" w:cs="AdvP641C"/>
                <w:sz w:val="22"/>
                <w:szCs w:val="22"/>
                <w:lang w:val="en-GB"/>
              </w:rPr>
            </w:pPr>
            <w:r w:rsidRPr="00F7606D">
              <w:rPr>
                <w:rFonts w:ascii="Georgia" w:hAnsi="Georgia"/>
                <w:bCs/>
                <w:sz w:val="22"/>
                <w:szCs w:val="22"/>
                <w:lang w:val="en-GB"/>
              </w:rPr>
              <w:t xml:space="preserve">Interferon beta-1b 500 mcg SC every other day </w:t>
            </w:r>
            <w:r w:rsidRPr="00F7606D">
              <w:rPr>
                <w:rFonts w:ascii="Georgia" w:hAnsi="Georgia"/>
                <w:sz w:val="22"/>
                <w:szCs w:val="22"/>
                <w:lang w:val="en-GB"/>
              </w:rPr>
              <w:t>(n = 899)</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endpoints</w:t>
            </w:r>
            <w:r w:rsidRPr="00F7606D">
              <w:rPr>
                <w:rFonts w:ascii="Georgia" w:hAnsi="Georgia"/>
                <w:sz w:val="22"/>
                <w:szCs w:val="22"/>
                <w:u w:val="single"/>
                <w:lang w:val="en-GB"/>
              </w:rPr>
              <w:t>:</w:t>
            </w:r>
            <w:r w:rsidRPr="00F7606D">
              <w:rPr>
                <w:rFonts w:ascii="Georgia" w:hAnsi="Georgia"/>
                <w:sz w:val="22"/>
                <w:szCs w:val="22"/>
                <w:lang w:val="en-GB"/>
              </w:rPr>
              <w:t xml:space="preserve"> Relapse-based outcomes at year 2 (ARR, days to first relapse, proportion relapse-free).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Secondary endpoints</w:t>
            </w:r>
            <w:r w:rsidRPr="00F7606D">
              <w:rPr>
                <w:szCs w:val="22"/>
                <w:u w:val="single"/>
                <w:lang w:val="en-GB"/>
              </w:rPr>
              <w:t>:</w:t>
            </w:r>
            <w:r w:rsidRPr="00F7606D">
              <w:rPr>
                <w:szCs w:val="22"/>
                <w:lang w:val="en-GB"/>
              </w:rPr>
              <w:t xml:space="preserve"> Confirmed EDSS progression; MS-related admission to hospital, MS-related steroid course, different MRI outcomes.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szCs w:val="22"/>
                <w:u w:val="single"/>
                <w:lang w:val="en-GB"/>
              </w:rPr>
              <w:t>Definitions used for endpoints:</w:t>
            </w:r>
            <w:r w:rsidRPr="00F7606D">
              <w:rPr>
                <w:szCs w:val="22"/>
                <w:lang w:val="en-GB"/>
              </w:rPr>
              <w:t xml:space="preserve">  </w:t>
            </w:r>
            <w:r w:rsidRPr="00F7606D">
              <w:rPr>
                <w:i/>
                <w:iCs/>
                <w:szCs w:val="22"/>
                <w:u w:val="single"/>
                <w:lang w:val="en-GB"/>
              </w:rPr>
              <w:t>Relapses</w:t>
            </w:r>
            <w:r w:rsidRPr="00F7606D">
              <w:rPr>
                <w:szCs w:val="22"/>
                <w:u w:val="single"/>
                <w:lang w:val="en-GB"/>
              </w:rPr>
              <w:t>:</w:t>
            </w:r>
            <w:r w:rsidRPr="00F7606D">
              <w:rPr>
                <w:szCs w:val="22"/>
                <w:lang w:val="en-GB"/>
              </w:rPr>
              <w:t xml:space="preserve"> New or recurrent neurological abnormalities that were separated by at least 30 days from the onset of the preceding event, lasted at least 24 hours, and occurred without fever or infection.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i/>
                <w:iCs/>
                <w:szCs w:val="22"/>
                <w:u w:val="single"/>
                <w:lang w:val="en-GB"/>
              </w:rPr>
              <w:t>EDSS progression</w:t>
            </w:r>
            <w:r w:rsidRPr="00F7606D">
              <w:rPr>
                <w:szCs w:val="22"/>
                <w:u w:val="single"/>
                <w:lang w:val="en-GB"/>
              </w:rPr>
              <w:t>:</w:t>
            </w:r>
            <w:r w:rsidRPr="00F7606D">
              <w:rPr>
                <w:szCs w:val="22"/>
                <w:lang w:val="en-GB"/>
              </w:rPr>
              <w:t xml:space="preserve"> Measured as a 1-point change in the score that was sustained for 3 months.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2 to 3,5 years</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 xml:space="preserve">Treatment-naive (based on inclusion criteria). </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Randomization</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Allocation concealment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685670"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Double-blinding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 [(rater-blinded), IFN doses double-blinded]</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Baseline characteristic similarity</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 measures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Withdrawals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15%</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ITT Analysis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Unclear</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Funding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Manufacturer</w:t>
            </w:r>
          </w:p>
        </w:tc>
      </w:tr>
    </w:tbl>
    <w:p w:rsidR="00EA7D99" w:rsidRPr="00F7606D" w:rsidRDefault="00EA7D99" w:rsidP="00EA7D99">
      <w:pPr>
        <w:spacing w:line="240" w:lineRule="auto"/>
        <w:contextualSpacing/>
        <w:jc w:val="both"/>
      </w:pPr>
    </w:p>
    <w:p w:rsidR="00EA7D99" w:rsidRPr="00F7606D" w:rsidRDefault="00EA7D99" w:rsidP="00EA7D99">
      <w:pPr>
        <w:spacing w:line="240" w:lineRule="auto"/>
        <w:contextualSpacing/>
        <w:jc w:val="both"/>
      </w:pPr>
    </w:p>
    <w:p w:rsidR="00EA7D99" w:rsidRPr="00F7606D" w:rsidRDefault="00EA7D99" w:rsidP="00746324">
      <w:pPr>
        <w:pStyle w:val="41"/>
        <w:numPr>
          <w:ilvl w:val="0"/>
          <w:numId w:val="0"/>
        </w:numPr>
        <w:spacing w:line="240" w:lineRule="auto"/>
        <w:contextualSpacing/>
        <w:jc w:val="both"/>
        <w:rPr>
          <w:szCs w:val="22"/>
          <w:lang w:val="en-GB"/>
        </w:rPr>
      </w:pPr>
      <w:r w:rsidRPr="00F7606D">
        <w:rPr>
          <w:szCs w:val="22"/>
          <w:lang w:val="en-GB"/>
        </w:rPr>
        <w:t xml:space="preserve">Calabrese et al., 2012 </w:t>
      </w:r>
      <w:r w:rsidR="00204467" w:rsidRPr="00F7606D">
        <w:rPr>
          <w:szCs w:val="22"/>
          <w:lang w:val="en-GB"/>
        </w:rPr>
        <w:fldChar w:fldCharType="begin">
          <w:fldData xml:space="preserve">PEVuZE5vdGU+PENpdGU+PEF1dGhvcj5DYWxhYnJlc2U8L0F1dGhvcj48WWVhcj4yMDEyPC9ZZWFy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</w:fldData>
        </w:fldChar>
      </w:r>
      <w:r w:rsidRPr="00F7606D">
        <w:rPr>
          <w:szCs w:val="22"/>
          <w:lang w:val="en-GB"/>
        </w:rPr>
        <w:instrText xml:space="preserve"> ADDIN EN.CITE </w:instrText>
      </w:r>
      <w:r w:rsidR="00204467" w:rsidRPr="00F7606D">
        <w:rPr>
          <w:szCs w:val="22"/>
          <w:lang w:val="en-GB"/>
        </w:rPr>
        <w:fldChar w:fldCharType="begin">
          <w:fldData xml:space="preserve">PEVuZE5vdGU+PENpdGU+PEF1dGhvcj5DYWxhYnJlc2U8L0F1dGhvcj48WWVhcj4yMDEyPC9ZZWFy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</w:fldData>
        </w:fldChar>
      </w:r>
      <w:r w:rsidRPr="00F7606D">
        <w:rPr>
          <w:szCs w:val="22"/>
          <w:lang w:val="en-GB"/>
        </w:rPr>
        <w:instrText xml:space="preserve"> ADDIN EN.CITE.DATA </w:instrText>
      </w:r>
      <w:r w:rsidR="00204467" w:rsidRPr="00F7606D">
        <w:rPr>
          <w:szCs w:val="22"/>
          <w:lang w:val="en-GB"/>
        </w:rPr>
      </w:r>
      <w:r w:rsidR="00204467" w:rsidRPr="00F7606D">
        <w:rPr>
          <w:szCs w:val="22"/>
          <w:lang w:val="en-GB"/>
        </w:rPr>
        <w:fldChar w:fldCharType="end"/>
      </w:r>
      <w:r w:rsidR="00204467" w:rsidRPr="00F7606D">
        <w:rPr>
          <w:szCs w:val="22"/>
          <w:lang w:val="en-GB"/>
        </w:rPr>
      </w:r>
      <w:r w:rsidR="00204467" w:rsidRPr="00F7606D">
        <w:rPr>
          <w:szCs w:val="22"/>
          <w:lang w:val="en-GB"/>
        </w:rPr>
        <w:fldChar w:fldCharType="separate"/>
      </w:r>
      <w:r w:rsidRPr="00F7606D">
        <w:rPr>
          <w:noProof/>
          <w:szCs w:val="22"/>
          <w:lang w:val="en-GB"/>
        </w:rPr>
        <w:t>(</w:t>
      </w:r>
      <w:r w:rsidR="001E0F19">
        <w:rPr>
          <w:noProof/>
          <w:szCs w:val="22"/>
          <w:lang w:val="en-GB"/>
        </w:rPr>
        <w:t>2012</w:t>
      </w:r>
      <w:r w:rsidRPr="00F7606D">
        <w:rPr>
          <w:noProof/>
          <w:szCs w:val="22"/>
          <w:lang w:val="en-GB"/>
        </w:rPr>
        <w:t>)</w:t>
      </w:r>
      <w:r w:rsidR="00204467" w:rsidRPr="00F7606D">
        <w:rPr>
          <w:szCs w:val="22"/>
          <w:lang w:val="en-GB"/>
        </w:rPr>
        <w:fldChar w:fldCharType="end"/>
      </w:r>
      <w:r w:rsidRPr="00F7606D">
        <w:rPr>
          <w:szCs w:val="22"/>
          <w:lang w:val="en-GB"/>
        </w:rPr>
        <w:t xml:space="preserve">, included in </w:t>
      </w:r>
      <w:r w:rsidR="00663354">
        <w:rPr>
          <w:szCs w:val="22"/>
          <w:lang w:val="en-GB"/>
        </w:rPr>
        <w:t>Tran</w:t>
      </w:r>
      <w:r w:rsidRPr="00F7606D">
        <w:rPr>
          <w:szCs w:val="22"/>
          <w:lang w:val="en-GB"/>
        </w:rPr>
        <w:t xml:space="preserve"> et al. </w:t>
      </w:r>
      <w:r w:rsidR="00204467" w:rsidRPr="00F7606D">
        <w:rPr>
          <w:lang w:val="en-GB"/>
        </w:rPr>
        <w:fldChar w:fldCharType="begin"/>
      </w:r>
      <w:r w:rsidR="001E0F19"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001E0F19" w:rsidRPr="00F7606D">
        <w:rPr>
          <w:noProof/>
          <w:lang w:val="en-GB"/>
        </w:rPr>
        <w:t>(</w:t>
      </w:r>
      <w:r w:rsidR="001E0F19">
        <w:rPr>
          <w:noProof/>
          <w:lang w:val="en-GB"/>
        </w:rPr>
        <w:t>2013</w:t>
      </w:r>
      <w:r w:rsidR="001E0F19" w:rsidRPr="00F7606D">
        <w:rPr>
          <w:noProof/>
          <w:lang w:val="en-GB"/>
        </w:rPr>
        <w:t>)</w:t>
      </w:r>
      <w:r w:rsidR="00204467" w:rsidRPr="00F7606D">
        <w:rPr>
          <w:lang w:val="en-GB"/>
        </w:rPr>
        <w:fldChar w:fldCharType="end"/>
      </w:r>
    </w:p>
    <w:tbl>
      <w:tblPr>
        <w:tblStyle w:val="afff"/>
        <w:tblW w:w="9351" w:type="dxa"/>
        <w:tblLook w:val="04A0"/>
      </w:tblPr>
      <w:tblGrid>
        <w:gridCol w:w="2687"/>
        <w:gridCol w:w="1559"/>
        <w:gridCol w:w="5105"/>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Not reported</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 xml:space="preserve">Rater-blinded, randomized controlled trial, single-centre in Italy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i/>
                <w:szCs w:val="22"/>
                <w:u w:val="single"/>
                <w:lang w:val="en-GB" w:eastAsia="en-US"/>
              </w:rPr>
              <w:t>Eligibility criteria:</w:t>
            </w:r>
            <w:r w:rsidRPr="00F7606D">
              <w:rPr>
                <w:rFonts w:eastAsiaTheme="minorHAnsi"/>
                <w:szCs w:val="22"/>
                <w:lang w:val="en-GB" w:eastAsia="en-US"/>
              </w:rPr>
              <w:t xml:space="preserve"> Age = 18 years to 55 years, diagnosis of RRMS (McDonald/Polman criteria), EDSS = 0 to 5.0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i/>
                <w:szCs w:val="22"/>
                <w:u w:val="single"/>
                <w:lang w:val="en-GB" w:eastAsia="en-US"/>
              </w:rPr>
              <w:t xml:space="preserve">Key exclusion criteria: </w:t>
            </w:r>
            <w:r w:rsidRPr="00F7606D">
              <w:rPr>
                <w:rFonts w:eastAsiaTheme="minorHAnsi"/>
                <w:szCs w:val="22"/>
                <w:lang w:val="en-GB" w:eastAsia="en-US"/>
              </w:rPr>
              <w:t xml:space="preserve">Those previously treated with immunosuppressive drugs.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i/>
                <w:szCs w:val="22"/>
                <w:u w:val="single"/>
                <w:lang w:val="en-GB" w:eastAsia="en-US"/>
              </w:rPr>
              <w:t>Baseline characteristics:</w:t>
            </w:r>
            <w:r w:rsidRPr="00F7606D">
              <w:rPr>
                <w:rFonts w:eastAsiaTheme="minorHAnsi"/>
                <w:szCs w:val="22"/>
                <w:u w:val="single"/>
                <w:lang w:val="en-GB" w:eastAsia="en-US"/>
              </w:rPr>
              <w:t xml:space="preserve"> </w:t>
            </w:r>
            <w:r w:rsidRPr="00F7606D">
              <w:rPr>
                <w:rFonts w:eastAsiaTheme="minorHAnsi"/>
                <w:szCs w:val="22"/>
                <w:lang w:val="en-GB" w:eastAsia="en-US"/>
              </w:rPr>
              <w:t>Age: 37+/-10 years; 70% female; EDSS 2,0+/-1,1</w:t>
            </w:r>
          </w:p>
        </w:tc>
      </w:tr>
      <w:tr w:rsidR="00EA7D99" w:rsidRPr="00B4105F"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tabs>
                <w:tab w:val="clear" w:pos="510"/>
              </w:tabs>
              <w:autoSpaceDE w:val="0"/>
              <w:autoSpaceDN w:val="0"/>
              <w:adjustRightInd w:val="0"/>
              <w:spacing w:line="240" w:lineRule="auto"/>
              <w:contextualSpacing/>
              <w:jc w:val="both"/>
              <w:rPr>
                <w:rFonts w:eastAsiaTheme="minorHAnsi"/>
                <w:szCs w:val="22"/>
                <w:lang w:val="pt-PT" w:eastAsia="en-US"/>
              </w:rPr>
            </w:pPr>
            <w:r w:rsidRPr="00B4105F">
              <w:rPr>
                <w:rFonts w:eastAsiaTheme="minorHAnsi"/>
                <w:szCs w:val="22"/>
                <w:lang w:val="pt-PT" w:eastAsia="en-US"/>
              </w:rPr>
              <w:t xml:space="preserve">Glatiramer acetate 20 mg SC q.d. (n = 55)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tabs>
                <w:tab w:val="clear" w:pos="510"/>
              </w:tabs>
              <w:autoSpaceDE w:val="0"/>
              <w:autoSpaceDN w:val="0"/>
              <w:adjustRightInd w:val="0"/>
              <w:spacing w:line="240" w:lineRule="auto"/>
              <w:contextualSpacing/>
              <w:jc w:val="both"/>
              <w:rPr>
                <w:rFonts w:eastAsiaTheme="minorHAnsi"/>
                <w:szCs w:val="22"/>
                <w:lang w:val="pt-PT" w:eastAsia="en-US"/>
              </w:rPr>
            </w:pPr>
            <w:r w:rsidRPr="00B4105F">
              <w:rPr>
                <w:rFonts w:eastAsiaTheme="minorHAnsi"/>
                <w:szCs w:val="22"/>
                <w:lang w:val="pt-PT" w:eastAsia="en-US"/>
              </w:rPr>
              <w:t xml:space="preserve">Interferon beta-1a 44 mcg SC t.i.w. (n = 55) </w:t>
            </w:r>
          </w:p>
          <w:p w:rsidR="00EA7D99" w:rsidRPr="00B4105F" w:rsidRDefault="00EA7D99" w:rsidP="00EA7D99">
            <w:pPr>
              <w:tabs>
                <w:tab w:val="clear" w:pos="510"/>
              </w:tabs>
              <w:autoSpaceDE w:val="0"/>
              <w:autoSpaceDN w:val="0"/>
              <w:adjustRightInd w:val="0"/>
              <w:spacing w:line="240" w:lineRule="auto"/>
              <w:contextualSpacing/>
              <w:jc w:val="both"/>
              <w:rPr>
                <w:rFonts w:eastAsiaTheme="minorHAnsi"/>
                <w:szCs w:val="22"/>
                <w:lang w:val="pt-PT" w:eastAsia="en-US"/>
              </w:rPr>
            </w:pPr>
            <w:r w:rsidRPr="00B4105F">
              <w:rPr>
                <w:rFonts w:eastAsiaTheme="minorHAnsi"/>
                <w:szCs w:val="22"/>
                <w:lang w:val="pt-PT" w:eastAsia="en-US"/>
              </w:rPr>
              <w:t xml:space="preserve">Interferon beta-1a 30 mcg IM q.w. (n = 55)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 xml:space="preserve">Different MRI outcomes.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 xml:space="preserve">Annualized relapse rate.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 xml:space="preserve">EDSS change.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Definition not stated</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2 years</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autoSpaceDE w:val="0"/>
              <w:autoSpaceDN w:val="0"/>
              <w:adjustRightInd w:val="0"/>
              <w:spacing w:line="240" w:lineRule="auto"/>
              <w:contextualSpacing/>
              <w:jc w:val="both"/>
              <w:rPr>
                <w:rFonts w:cs="TimesNewRomanPSMT"/>
                <w:szCs w:val="22"/>
                <w:lang w:val="en-GB"/>
              </w:rPr>
            </w:pPr>
            <w:r w:rsidRPr="00F7606D">
              <w:rPr>
                <w:rFonts w:cs="TimesNewRomanPSMT"/>
                <w:szCs w:val="22"/>
                <w:lang w:val="en-GB"/>
              </w:rPr>
              <w:t>Unclear (inadequate information to characteristics)</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Comments</w:t>
            </w:r>
          </w:p>
        </w:tc>
        <w:tc>
          <w:tcPr>
            <w:tcW w:w="6664"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szCs w:val="22"/>
                <w:lang w:val="en-GB"/>
              </w:rPr>
            </w:pPr>
            <w:r w:rsidRPr="00F7606D">
              <w:rPr>
                <w:szCs w:val="22"/>
                <w:lang w:val="en-GB"/>
              </w:rPr>
              <w:t>The publication also includes a group of disease modifying treated patients, and disease modifying drug untreated controls</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Randomization</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Allocation concealment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Double-blinding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 (rater blinded)</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Baseline characteristic similarity</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 measures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Withdrawals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15%</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ITT Analysis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Funding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Manufacturer</w:t>
            </w:r>
          </w:p>
        </w:tc>
      </w:tr>
    </w:tbl>
    <w:p w:rsidR="00EA7D99" w:rsidRPr="00F7606D" w:rsidRDefault="00EA7D99" w:rsidP="00EA7D99">
      <w:pPr>
        <w:spacing w:line="240" w:lineRule="auto"/>
        <w:contextualSpacing/>
        <w:jc w:val="both"/>
      </w:pPr>
    </w:p>
    <w:p w:rsidR="00EA7D99" w:rsidRPr="00F7606D" w:rsidRDefault="00EA7D99" w:rsidP="00746324">
      <w:pPr>
        <w:pStyle w:val="41"/>
        <w:numPr>
          <w:ilvl w:val="0"/>
          <w:numId w:val="0"/>
        </w:numPr>
        <w:spacing w:line="240" w:lineRule="auto"/>
        <w:contextualSpacing/>
        <w:jc w:val="both"/>
        <w:rPr>
          <w:szCs w:val="22"/>
          <w:lang w:val="en-GB"/>
        </w:rPr>
      </w:pPr>
      <w:r w:rsidRPr="00F7606D">
        <w:rPr>
          <w:szCs w:val="22"/>
          <w:lang w:val="en-GB"/>
        </w:rPr>
        <w:t xml:space="preserve">GALA </w:t>
      </w:r>
      <w:r w:rsidRPr="00F7606D">
        <w:rPr>
          <w:rFonts w:eastAsiaTheme="minorHAnsi" w:cs="AdvAGaramond-R"/>
          <w:color w:val="231F20"/>
          <w:szCs w:val="22"/>
          <w:lang w:val="en-GB" w:eastAsia="en-US"/>
        </w:rPr>
        <w:t>(Glatiramer Acetate Low-frequency Administration) study</w:t>
      </w:r>
      <w:r w:rsidRPr="00F7606D">
        <w:rPr>
          <w:szCs w:val="22"/>
          <w:lang w:val="en-GB"/>
        </w:rPr>
        <w:t xml:space="preserve">, Khan et al., </w:t>
      </w:r>
      <w:r w:rsidR="001E0F19">
        <w:rPr>
          <w:szCs w:val="22"/>
          <w:lang w:val="en-GB"/>
        </w:rPr>
        <w:t>(</w:t>
      </w:r>
      <w:r w:rsidRPr="00F7606D">
        <w:rPr>
          <w:szCs w:val="22"/>
          <w:lang w:val="en-GB"/>
        </w:rPr>
        <w:t>2013</w:t>
      </w:r>
      <w:r w:rsidR="001E0F19">
        <w:rPr>
          <w:szCs w:val="22"/>
          <w:lang w:val="en-GB"/>
        </w:rPr>
        <w:t>)</w:t>
      </w:r>
      <w:r w:rsidRPr="00F7606D">
        <w:rPr>
          <w:szCs w:val="22"/>
          <w:lang w:val="en-GB"/>
        </w:rPr>
        <w:t xml:space="preserve">, not included in </w:t>
      </w:r>
      <w:r w:rsidR="00663354">
        <w:rPr>
          <w:szCs w:val="22"/>
          <w:lang w:val="en-GB"/>
        </w:rPr>
        <w:t>Tran</w:t>
      </w:r>
      <w:r w:rsidRPr="00F7606D">
        <w:rPr>
          <w:szCs w:val="22"/>
          <w:lang w:val="en-GB"/>
        </w:rPr>
        <w:t xml:space="preserve"> et al. </w:t>
      </w:r>
      <w:r w:rsidR="00204467" w:rsidRPr="00F7606D">
        <w:rPr>
          <w:lang w:val="en-GB"/>
        </w:rPr>
        <w:fldChar w:fldCharType="begin"/>
      </w:r>
      <w:r w:rsidR="001E0F19"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001E0F19" w:rsidRPr="00F7606D">
        <w:rPr>
          <w:noProof/>
          <w:lang w:val="en-GB"/>
        </w:rPr>
        <w:t>(</w:t>
      </w:r>
      <w:r w:rsidR="001E0F19">
        <w:rPr>
          <w:noProof/>
          <w:lang w:val="en-GB"/>
        </w:rPr>
        <w:t>2013</w:t>
      </w:r>
      <w:r w:rsidR="001E0F19" w:rsidRPr="00F7606D">
        <w:rPr>
          <w:noProof/>
          <w:lang w:val="en-GB"/>
        </w:rPr>
        <w:t>)</w:t>
      </w:r>
      <w:r w:rsidR="00204467" w:rsidRPr="00F7606D">
        <w:rPr>
          <w:lang w:val="en-GB"/>
        </w:rPr>
        <w:fldChar w:fldCharType="end"/>
      </w:r>
    </w:p>
    <w:tbl>
      <w:tblPr>
        <w:tblStyle w:val="afff"/>
        <w:tblW w:w="9351" w:type="dxa"/>
        <w:tblLook w:val="04A0"/>
      </w:tblPr>
      <w:tblGrid>
        <w:gridCol w:w="2687"/>
        <w:gridCol w:w="1844"/>
        <w:gridCol w:w="4820"/>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cs="AdvAGaramond-R"/>
                <w:color w:val="231F20"/>
                <w:szCs w:val="22"/>
                <w:lang w:val="en-GB" w:eastAsia="en-US"/>
              </w:rPr>
              <w:t xml:space="preserve"> Not reported</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AGaramond-R"/>
                <w:color w:val="231F20"/>
                <w:szCs w:val="22"/>
                <w:lang w:val="en-GB" w:eastAsia="en-US"/>
              </w:rPr>
            </w:pPr>
            <w:r w:rsidRPr="00F7606D">
              <w:rPr>
                <w:rFonts w:eastAsiaTheme="minorHAnsi" w:cs="AdvAVENIR-R"/>
                <w:color w:val="231F20"/>
                <w:szCs w:val="22"/>
                <w:lang w:val="en-GB" w:eastAsia="en-US"/>
              </w:rPr>
              <w:t xml:space="preserve">A randomized, double-blind study was conducted in </w:t>
            </w:r>
            <w:r w:rsidRPr="00F7606D">
              <w:rPr>
                <w:rFonts w:eastAsiaTheme="minorHAnsi" w:cs="AdvAGaramond-R"/>
                <w:color w:val="231F20"/>
                <w:szCs w:val="22"/>
                <w:lang w:val="en-GB" w:eastAsia="en-US"/>
              </w:rPr>
              <w:t>142 sites in 17 countries, including the United States, Bulgaria, Croatia, Germany, Poland, Romania, and Ukraine</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 xml:space="preserve">Participants </w:t>
            </w:r>
          </w:p>
          <w:p w:rsidR="00EA7D99" w:rsidRPr="00F7606D" w:rsidRDefault="00EA7D99" w:rsidP="00EA7D99">
            <w:pPr>
              <w:spacing w:line="240" w:lineRule="auto"/>
              <w:contextualSpacing/>
              <w:jc w:val="both"/>
              <w:rPr>
                <w:b/>
                <w:szCs w:val="22"/>
                <w:lang w:val="en-GB"/>
              </w:rPr>
            </w:pPr>
          </w:p>
          <w:p w:rsidR="00EA7D99" w:rsidRPr="00F7606D" w:rsidRDefault="00EA7D99" w:rsidP="00EA7D99">
            <w:pPr>
              <w:spacing w:line="240" w:lineRule="auto"/>
              <w:contextualSpacing/>
              <w:jc w:val="both"/>
              <w:rPr>
                <w:szCs w:val="22"/>
                <w:lang w:val="en-GB"/>
              </w:rPr>
            </w:pP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i/>
                <w:szCs w:val="22"/>
                <w:u w:val="single"/>
                <w:lang w:val="en-GB"/>
              </w:rPr>
              <w:t>Eligibility criteria:</w:t>
            </w:r>
            <w:r w:rsidRPr="00F7606D">
              <w:rPr>
                <w:szCs w:val="22"/>
                <w:lang w:val="en-GB"/>
              </w:rPr>
              <w:t xml:space="preserve"> 18 to 55 years of age, Confirmed RRMS diagnosis (according to the revised McDonald criteria), had an Expanded Disability Status Scale (EDSS) score of &lt;=5.5, and were relapse-free for &gt;=30 days.  Patients also were required to have &gt;=1 documented relapse in the 12 months prior to screening, &gt;=2 documented relapses in the 24 months prior to screening, or 1 documented relapse between 12 and 24 months prior to screening with at least 1 documented T1 gadolinium enhancing lesion in an MRI performed within 12 months of screening.</w:t>
            </w:r>
          </w:p>
          <w:p w:rsidR="00EA7D99" w:rsidRPr="00F7606D" w:rsidRDefault="00EA7D99" w:rsidP="00EA7D99">
            <w:pPr>
              <w:spacing w:line="240" w:lineRule="auto"/>
              <w:contextualSpacing/>
              <w:jc w:val="both"/>
              <w:rPr>
                <w:szCs w:val="22"/>
                <w:lang w:val="en-GB"/>
              </w:rPr>
            </w:pPr>
            <w:r w:rsidRPr="00F7606D">
              <w:rPr>
                <w:i/>
                <w:szCs w:val="22"/>
                <w:u w:val="single"/>
                <w:lang w:val="en-GB"/>
              </w:rPr>
              <w:t>Key exclusion criteria:</w:t>
            </w:r>
            <w:r w:rsidRPr="00F7606D">
              <w:rPr>
                <w:szCs w:val="22"/>
                <w:lang w:val="en-GB"/>
              </w:rPr>
              <w:t xml:space="preserve"> Several exclusions criteria based on previous and/or concurrent treatments. </w:t>
            </w:r>
          </w:p>
          <w:p w:rsidR="00EA7D99" w:rsidRPr="00F7606D" w:rsidRDefault="00EA7D99" w:rsidP="00EA7D99">
            <w:pPr>
              <w:spacing w:line="240" w:lineRule="auto"/>
              <w:contextualSpacing/>
              <w:jc w:val="both"/>
              <w:rPr>
                <w:rFonts w:eastAsiaTheme="minorHAnsi" w:cs="AdvP641C"/>
                <w:szCs w:val="22"/>
                <w:lang w:val="en-GB" w:eastAsia="en-US"/>
              </w:rPr>
            </w:pPr>
            <w:r w:rsidRPr="00F7606D">
              <w:rPr>
                <w:i/>
                <w:szCs w:val="22"/>
                <w:u w:val="single"/>
                <w:lang w:val="en-GB"/>
              </w:rPr>
              <w:t>Baseline characteristics in placebo group:</w:t>
            </w:r>
            <w:r w:rsidRPr="00F7606D">
              <w:rPr>
                <w:szCs w:val="22"/>
                <w:lang w:val="en-GB"/>
              </w:rPr>
              <w:t xml:space="preserve"> 38+/-9 years; 68% female; EDSS 2.7+/-1.2</w:t>
            </w:r>
          </w:p>
        </w:tc>
      </w:tr>
      <w:tr w:rsidR="00EA7D99" w:rsidRPr="00B4105F"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tabs>
                <w:tab w:val="clear" w:pos="510"/>
              </w:tabs>
              <w:autoSpaceDE w:val="0"/>
              <w:autoSpaceDN w:val="0"/>
              <w:adjustRightInd w:val="0"/>
              <w:spacing w:line="240" w:lineRule="auto"/>
              <w:contextualSpacing/>
              <w:jc w:val="both"/>
              <w:rPr>
                <w:rFonts w:eastAsiaTheme="minorHAnsi" w:cs="AdvP641C"/>
                <w:szCs w:val="22"/>
                <w:lang w:val="pt-PT" w:eastAsia="en-US"/>
              </w:rPr>
            </w:pPr>
            <w:r w:rsidRPr="00B4105F">
              <w:rPr>
                <w:rFonts w:eastAsiaTheme="minorHAnsi" w:cs="AdvAVENIR-R"/>
                <w:color w:val="231F20"/>
                <w:szCs w:val="22"/>
                <w:lang w:val="pt-PT" w:eastAsia="en-US"/>
              </w:rPr>
              <w:t>Glatiramer acetate sc 40mg (1ml) tiw (n=943)</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AVENIR-R"/>
                <w:color w:val="231F20"/>
                <w:szCs w:val="22"/>
                <w:lang w:val="en-GB" w:eastAsia="en-US"/>
              </w:rPr>
              <w:t>Placebo (n=461)</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AGaramond-R"/>
                <w:color w:val="231F20"/>
                <w:szCs w:val="22"/>
                <w:lang w:val="en-GB" w:eastAsia="en-US"/>
              </w:rPr>
            </w:pPr>
            <w:r w:rsidRPr="00F7606D">
              <w:rPr>
                <w:rFonts w:eastAsiaTheme="minorHAnsi" w:cs="AdvAGaramond-R"/>
                <w:i/>
                <w:color w:val="231F20"/>
                <w:szCs w:val="22"/>
                <w:u w:val="single"/>
                <w:lang w:val="en-GB" w:eastAsia="en-US"/>
              </w:rPr>
              <w:t>Primary endpoint:</w:t>
            </w:r>
            <w:r w:rsidRPr="00F7606D">
              <w:rPr>
                <w:rFonts w:eastAsiaTheme="minorHAnsi" w:cs="AdvAGaramond-R"/>
                <w:color w:val="231F20"/>
                <w:szCs w:val="22"/>
                <w:lang w:val="en-GB" w:eastAsia="en-US"/>
              </w:rPr>
              <w:t xml:space="preserve"> Annualised relapse rate</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rFonts w:eastAsiaTheme="minorHAnsi" w:cs="AdvAGaramond-R"/>
                <w:i/>
                <w:color w:val="231F20"/>
                <w:szCs w:val="22"/>
                <w:u w:val="single"/>
                <w:lang w:val="en-GB" w:eastAsia="en-US"/>
              </w:rPr>
              <w:t xml:space="preserve">Secondary outpoints: </w:t>
            </w:r>
            <w:r w:rsidRPr="00F7606D">
              <w:rPr>
                <w:rFonts w:eastAsiaTheme="minorHAnsi" w:cs="AdvAGaramond-R"/>
                <w:color w:val="231F20"/>
                <w:szCs w:val="22"/>
                <w:lang w:val="en-GB" w:eastAsia="en-US"/>
              </w:rPr>
              <w:t>MRI outcomes</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AGaramond-R"/>
                <w:color w:val="231F20"/>
                <w:szCs w:val="22"/>
                <w:lang w:val="en-GB" w:eastAsia="en-US"/>
              </w:rPr>
            </w:pPr>
            <w:r w:rsidRPr="00F7606D">
              <w:rPr>
                <w:szCs w:val="22"/>
                <w:u w:val="single"/>
                <w:lang w:val="en-GB"/>
              </w:rPr>
              <w:t>Definition used for relapse:</w:t>
            </w:r>
            <w:r w:rsidRPr="00F7606D">
              <w:rPr>
                <w:szCs w:val="22"/>
                <w:lang w:val="en-GB"/>
              </w:rPr>
              <w:t xml:space="preserve"> A Relapse was defined as the appearance of &gt;=1 new neurological abnormalities or the reappearance of &gt;=1 previously observed neurological abnormalities lasting at least 48 hours  </w:t>
            </w:r>
            <w:r w:rsidRPr="00F7606D">
              <w:rPr>
                <w:rFonts w:eastAsiaTheme="minorHAnsi" w:cs="AdvAGaramond-R"/>
                <w:color w:val="231F20"/>
                <w:szCs w:val="22"/>
                <w:lang w:val="en-GB" w:eastAsia="en-US"/>
              </w:rPr>
              <w:t xml:space="preserve">and preceded by an improving neurological state of at least 30 days from the onset of previous relapse. </w:t>
            </w:r>
            <w:r w:rsidRPr="00F7606D">
              <w:rPr>
                <w:szCs w:val="22"/>
                <w:lang w:val="en-GB"/>
              </w:rPr>
              <w:t xml:space="preserve">An event was counted as a relapse when the patient’s symptoms were accompanied by observed objective neurological changes consistent with an increase of &gt;=0.5 points in the EDSS score compared with previous evaluation, or an increase of 1 grade in the actual score of &gt;=2 or more of the 7 FSs; or an increase of 2 grades in the score of 1 FS, compared with the previous assessment.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AGaramond-R"/>
                <w:color w:val="231F20"/>
                <w:szCs w:val="22"/>
                <w:lang w:val="en-GB" w:eastAsia="en-US"/>
              </w:rPr>
            </w:pPr>
            <w:r w:rsidRPr="00F7606D">
              <w:rPr>
                <w:rFonts w:eastAsiaTheme="minorHAnsi" w:cs="AdvAGaramond-R"/>
                <w:color w:val="231F20"/>
                <w:szCs w:val="22"/>
                <w:lang w:val="en-GB" w:eastAsia="en-US"/>
              </w:rPr>
              <w:t>12 months (placebo controlled)</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autoSpaceDE w:val="0"/>
              <w:autoSpaceDN w:val="0"/>
              <w:adjustRightInd w:val="0"/>
              <w:spacing w:line="240" w:lineRule="auto"/>
              <w:contextualSpacing/>
              <w:jc w:val="both"/>
              <w:rPr>
                <w:rFonts w:cs="TimesNewRomanPSMT"/>
                <w:szCs w:val="22"/>
                <w:lang w:val="en-GB"/>
              </w:rPr>
            </w:pPr>
            <w:r w:rsidRPr="00F7606D">
              <w:rPr>
                <w:rFonts w:cs="TimesNewRomanPSMT"/>
                <w:szCs w:val="22"/>
                <w:lang w:val="en-GB"/>
              </w:rPr>
              <w:t>Mixed (based on exclusion criteria)</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Risk of bias</w:t>
            </w:r>
          </w:p>
        </w:tc>
      </w:tr>
      <w:tr w:rsidR="00EA7D99" w:rsidRPr="00F7606D" w:rsidTr="00EA7D99">
        <w:tc>
          <w:tcPr>
            <w:tcW w:w="4531"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Random sequence generation</w:t>
            </w:r>
          </w:p>
        </w:tc>
        <w:tc>
          <w:tcPr>
            <w:tcW w:w="4820"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Low risk</w:t>
            </w:r>
          </w:p>
        </w:tc>
      </w:tr>
      <w:tr w:rsidR="00EA7D99" w:rsidRPr="00685670" w:rsidTr="00EA7D99">
        <w:trPr>
          <w:trHeight w:val="402"/>
        </w:trPr>
        <w:tc>
          <w:tcPr>
            <w:tcW w:w="4531"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Allocation concealment</w:t>
            </w:r>
          </w:p>
        </w:tc>
        <w:tc>
          <w:tcPr>
            <w:tcW w:w="4820"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Not described, but blinding is adequate.</w:t>
            </w:r>
          </w:p>
        </w:tc>
      </w:tr>
      <w:tr w:rsidR="00EA7D99" w:rsidRPr="00F7606D" w:rsidTr="00EA7D99">
        <w:tc>
          <w:tcPr>
            <w:tcW w:w="4531"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Blinding of participant and personnel</w:t>
            </w:r>
          </w:p>
        </w:tc>
        <w:tc>
          <w:tcPr>
            <w:tcW w:w="4820"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Low risk</w:t>
            </w:r>
          </w:p>
        </w:tc>
      </w:tr>
      <w:tr w:rsidR="00EA7D99" w:rsidRPr="00F7606D" w:rsidTr="00EA7D99">
        <w:tc>
          <w:tcPr>
            <w:tcW w:w="4531"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Blinding of outcome assessment</w:t>
            </w:r>
          </w:p>
        </w:tc>
        <w:tc>
          <w:tcPr>
            <w:tcW w:w="4820"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Low risk</w:t>
            </w:r>
          </w:p>
        </w:tc>
      </w:tr>
      <w:tr w:rsidR="00EA7D99" w:rsidRPr="00685670" w:rsidTr="00EA7D99">
        <w:tc>
          <w:tcPr>
            <w:tcW w:w="4531"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Incomplete outcome data</w:t>
            </w:r>
          </w:p>
          <w:p w:rsidR="00EA7D99" w:rsidRPr="00F7606D" w:rsidRDefault="00EA7D99" w:rsidP="00EA7D99">
            <w:pPr>
              <w:spacing w:line="240" w:lineRule="auto"/>
              <w:contextualSpacing/>
              <w:jc w:val="both"/>
              <w:rPr>
                <w:b/>
                <w:szCs w:val="22"/>
                <w:lang w:val="en-GB"/>
              </w:rPr>
            </w:pPr>
          </w:p>
        </w:tc>
        <w:tc>
          <w:tcPr>
            <w:tcW w:w="4820"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Low risk</w:t>
            </w:r>
          </w:p>
          <w:p w:rsidR="00EA7D99" w:rsidRPr="00F7606D" w:rsidRDefault="00EA7D99" w:rsidP="00EA7D99">
            <w:pPr>
              <w:spacing w:line="240" w:lineRule="auto"/>
              <w:contextualSpacing/>
              <w:jc w:val="both"/>
              <w:rPr>
                <w:szCs w:val="22"/>
                <w:lang w:val="en-GB"/>
              </w:rPr>
            </w:pPr>
            <w:r w:rsidRPr="00F7606D">
              <w:rPr>
                <w:szCs w:val="22"/>
                <w:lang w:val="en-GB"/>
              </w:rPr>
              <w:t xml:space="preserve">Analysis performed as ITT </w:t>
            </w:r>
          </w:p>
        </w:tc>
      </w:tr>
      <w:tr w:rsidR="00EA7D99" w:rsidRPr="00F7606D" w:rsidTr="00EA7D99">
        <w:tc>
          <w:tcPr>
            <w:tcW w:w="4531"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Selective reporting</w:t>
            </w:r>
          </w:p>
        </w:tc>
        <w:tc>
          <w:tcPr>
            <w:tcW w:w="4820"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Not detected</w:t>
            </w:r>
          </w:p>
        </w:tc>
      </w:tr>
      <w:tr w:rsidR="00EA7D99" w:rsidRPr="00F7606D" w:rsidTr="00EA7D99">
        <w:tc>
          <w:tcPr>
            <w:tcW w:w="4531"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Other sources of bias</w:t>
            </w:r>
          </w:p>
        </w:tc>
        <w:tc>
          <w:tcPr>
            <w:tcW w:w="4820"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 xml:space="preserve">Funding: Manufacturer </w:t>
            </w:r>
          </w:p>
        </w:tc>
      </w:tr>
    </w:tbl>
    <w:p w:rsidR="00EA7D99" w:rsidRPr="00F7606D" w:rsidRDefault="00EA7D99" w:rsidP="00EA7D99">
      <w:pPr>
        <w:spacing w:line="240" w:lineRule="auto"/>
        <w:contextualSpacing/>
        <w:jc w:val="both"/>
      </w:pPr>
    </w:p>
    <w:p w:rsidR="00EA7D99" w:rsidRPr="00F7606D" w:rsidRDefault="00EA7D99" w:rsidP="00EA7D99">
      <w:pPr>
        <w:spacing w:after="160" w:line="240" w:lineRule="auto"/>
        <w:contextualSpacing/>
      </w:pPr>
      <w:r w:rsidRPr="00F7606D">
        <w:br w:type="page"/>
      </w:r>
    </w:p>
    <w:p w:rsidR="00EA7D99" w:rsidRPr="00F7606D" w:rsidRDefault="00EA7D99" w:rsidP="00746324">
      <w:pPr>
        <w:pStyle w:val="41"/>
        <w:numPr>
          <w:ilvl w:val="0"/>
          <w:numId w:val="0"/>
        </w:numPr>
        <w:spacing w:line="240" w:lineRule="auto"/>
        <w:contextualSpacing/>
        <w:rPr>
          <w:szCs w:val="22"/>
          <w:lang w:val="en-GB"/>
        </w:rPr>
      </w:pPr>
      <w:r w:rsidRPr="00F7606D">
        <w:rPr>
          <w:szCs w:val="22"/>
          <w:lang w:val="en-GB"/>
        </w:rPr>
        <w:t xml:space="preserve">CombiRx study 2013. Lublin et al., </w:t>
      </w:r>
      <w:r w:rsidR="00204467" w:rsidRPr="00F7606D">
        <w:rPr>
          <w:szCs w:val="22"/>
          <w:lang w:val="en-GB"/>
        </w:rPr>
        <w:fldChar w:fldCharType="begin">
          <w:fldData xml:space="preserve">PEVuZE5vdGU+PENpdGU+PEF1dGhvcj5MdWJsaW48L0F1dGhvcj48WWVhcj4yMDEzPC9ZZWFyPjxS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</w:fldData>
        </w:fldChar>
      </w:r>
      <w:r w:rsidRPr="00F7606D">
        <w:rPr>
          <w:szCs w:val="22"/>
          <w:lang w:val="en-GB"/>
        </w:rPr>
        <w:instrText xml:space="preserve"> ADDIN EN.CITE </w:instrText>
      </w:r>
      <w:r w:rsidR="00204467" w:rsidRPr="00F7606D">
        <w:rPr>
          <w:szCs w:val="22"/>
          <w:lang w:val="en-GB"/>
        </w:rPr>
        <w:fldChar w:fldCharType="begin">
          <w:fldData xml:space="preserve">PEVuZE5vdGU+PENpdGU+PEF1dGhvcj5MdWJsaW48L0F1dGhvcj48WWVhcj4yMDEzPC9ZZWFyPjxS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</w:fldData>
        </w:fldChar>
      </w:r>
      <w:r w:rsidRPr="00F7606D">
        <w:rPr>
          <w:szCs w:val="22"/>
          <w:lang w:val="en-GB"/>
        </w:rPr>
        <w:instrText xml:space="preserve"> ADDIN EN.CITE.DATA </w:instrText>
      </w:r>
      <w:r w:rsidR="00204467" w:rsidRPr="00F7606D">
        <w:rPr>
          <w:szCs w:val="22"/>
          <w:lang w:val="en-GB"/>
        </w:rPr>
      </w:r>
      <w:r w:rsidR="00204467" w:rsidRPr="00F7606D">
        <w:rPr>
          <w:szCs w:val="22"/>
          <w:lang w:val="en-GB"/>
        </w:rPr>
        <w:fldChar w:fldCharType="end"/>
      </w:r>
      <w:r w:rsidR="00204467" w:rsidRPr="00F7606D">
        <w:rPr>
          <w:szCs w:val="22"/>
          <w:lang w:val="en-GB"/>
        </w:rPr>
      </w:r>
      <w:r w:rsidR="00204467" w:rsidRPr="00F7606D">
        <w:rPr>
          <w:szCs w:val="22"/>
          <w:lang w:val="en-GB"/>
        </w:rPr>
        <w:fldChar w:fldCharType="separate"/>
      </w:r>
      <w:r w:rsidRPr="00F7606D">
        <w:rPr>
          <w:noProof/>
          <w:szCs w:val="22"/>
          <w:lang w:val="en-GB"/>
        </w:rPr>
        <w:t>(</w:t>
      </w:r>
      <w:r w:rsidR="001E0F19">
        <w:rPr>
          <w:noProof/>
          <w:szCs w:val="22"/>
          <w:lang w:val="en-GB"/>
        </w:rPr>
        <w:t>2013</w:t>
      </w:r>
      <w:r w:rsidRPr="00F7606D">
        <w:rPr>
          <w:noProof/>
          <w:szCs w:val="22"/>
          <w:lang w:val="en-GB"/>
        </w:rPr>
        <w:t>)</w:t>
      </w:r>
      <w:r w:rsidR="00204467" w:rsidRPr="00F7606D">
        <w:rPr>
          <w:szCs w:val="22"/>
          <w:lang w:val="en-GB"/>
        </w:rPr>
        <w:fldChar w:fldCharType="end"/>
      </w:r>
      <w:r w:rsidRPr="00F7606D">
        <w:rPr>
          <w:szCs w:val="22"/>
          <w:lang w:val="en-GB"/>
        </w:rPr>
        <w:t xml:space="preserve">, included in </w:t>
      </w:r>
      <w:r w:rsidR="00663354">
        <w:rPr>
          <w:szCs w:val="22"/>
          <w:lang w:val="en-GB"/>
        </w:rPr>
        <w:t>Tran</w:t>
      </w:r>
      <w:r w:rsidRPr="00F7606D">
        <w:rPr>
          <w:szCs w:val="22"/>
          <w:lang w:val="en-GB"/>
        </w:rPr>
        <w:t xml:space="preserve"> et al. </w:t>
      </w:r>
      <w:r w:rsidR="00204467" w:rsidRPr="00F7606D">
        <w:rPr>
          <w:lang w:val="en-GB"/>
        </w:rPr>
        <w:fldChar w:fldCharType="begin"/>
      </w:r>
      <w:r w:rsidR="001E0F19"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001E0F19" w:rsidRPr="00F7606D">
        <w:rPr>
          <w:noProof/>
          <w:lang w:val="en-GB"/>
        </w:rPr>
        <w:t>(</w:t>
      </w:r>
      <w:r w:rsidR="001E0F19">
        <w:rPr>
          <w:noProof/>
          <w:lang w:val="en-GB"/>
        </w:rPr>
        <w:t>2013</w:t>
      </w:r>
      <w:r w:rsidR="001E0F19" w:rsidRPr="00F7606D">
        <w:rPr>
          <w:noProof/>
          <w:lang w:val="en-GB"/>
        </w:rPr>
        <w:t>)</w:t>
      </w:r>
      <w:r w:rsidR="00204467" w:rsidRPr="00F7606D">
        <w:rPr>
          <w:lang w:val="en-GB"/>
        </w:rPr>
        <w:fldChar w:fldCharType="end"/>
      </w:r>
    </w:p>
    <w:tbl>
      <w:tblPr>
        <w:tblStyle w:val="afff"/>
        <w:tblW w:w="9351" w:type="dxa"/>
        <w:tblLook w:val="04A0"/>
      </w:tblPr>
      <w:tblGrid>
        <w:gridCol w:w="2687"/>
        <w:gridCol w:w="1559"/>
        <w:gridCol w:w="5105"/>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cs="Arial"/>
                <w:color w:val="000000"/>
                <w:szCs w:val="22"/>
                <w:shd w:val="clear" w:color="auto" w:fill="FFFFFF"/>
                <w:lang w:val="en-GB"/>
              </w:rPr>
              <w:t>NCT00211887</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rFonts w:eastAsiaTheme="minorHAnsi" w:cs="AdvAGaramond-R"/>
                <w:color w:val="231F20"/>
                <w:szCs w:val="22"/>
                <w:lang w:val="en-GB" w:eastAsia="en-US"/>
              </w:rPr>
            </w:pPr>
            <w:r w:rsidRPr="00F7606D">
              <w:rPr>
                <w:rFonts w:eastAsiaTheme="minorHAnsi" w:cs="AdvAVENIR-R"/>
                <w:color w:val="231F20"/>
                <w:szCs w:val="22"/>
                <w:lang w:val="en-GB" w:eastAsia="en-US"/>
              </w:rPr>
              <w:t xml:space="preserve">A double-blind, randomized, controlled study. </w:t>
            </w:r>
            <w:r w:rsidRPr="00F7606D">
              <w:rPr>
                <w:rFonts w:eastAsiaTheme="minorHAnsi" w:cs="AdvAGaramond-R"/>
                <w:color w:val="231F20"/>
                <w:szCs w:val="22"/>
                <w:lang w:val="en-GB" w:eastAsia="en-US"/>
              </w:rPr>
              <w:t>68 sites, both private practice and academic, in the USA and Canada</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AGaramond-R"/>
                <w:color w:val="231F20"/>
                <w:szCs w:val="22"/>
                <w:lang w:val="en-GB" w:eastAsia="en-US"/>
              </w:rPr>
            </w:pPr>
            <w:r w:rsidRPr="00F7606D">
              <w:rPr>
                <w:rFonts w:eastAsiaTheme="minorHAnsi" w:cs="AdvAGaramond-R"/>
                <w:i/>
                <w:color w:val="231F20"/>
                <w:szCs w:val="22"/>
                <w:u w:val="single"/>
                <w:lang w:val="en-GB" w:eastAsia="en-US"/>
              </w:rPr>
              <w:t>Eligibility criteria:</w:t>
            </w:r>
            <w:r w:rsidRPr="00F7606D">
              <w:rPr>
                <w:rFonts w:eastAsiaTheme="minorHAnsi" w:cs="AdvAGaramond-R"/>
                <w:color w:val="231F20"/>
                <w:szCs w:val="22"/>
                <w:lang w:val="en-GB" w:eastAsia="en-US"/>
              </w:rPr>
              <w:t xml:space="preserve"> </w:t>
            </w:r>
            <w:r w:rsidRPr="00F7606D">
              <w:rPr>
                <w:rFonts w:eastAsiaTheme="minorHAnsi" w:cs="AdvP641C"/>
                <w:szCs w:val="22"/>
                <w:lang w:val="en-GB" w:eastAsia="en-US"/>
              </w:rPr>
              <w:t>Patients with a diagnosis of RRMS by Poser or McDonald cirteria, aged 18- 60,</w:t>
            </w:r>
            <w:r w:rsidRPr="00F7606D">
              <w:rPr>
                <w:rFonts w:eastAsiaTheme="minorHAnsi" w:cs="AdvAGaramond-R"/>
                <w:color w:val="231F20"/>
                <w:szCs w:val="22"/>
                <w:lang w:val="en-GB" w:eastAsia="en-US"/>
              </w:rPr>
              <w:t xml:space="preserve"> EDSS score of 0 to 5.5, at least 2 exacerbations in the prior 3 years, where 1 exacerbation could be an magnetic resonance imaging (MRI) change meeting the 2001 McDonald MRI criteria for dissemination in time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AGaramond-R"/>
                <w:color w:val="231F20"/>
                <w:szCs w:val="22"/>
                <w:lang w:val="en-GB" w:eastAsia="en-US"/>
              </w:rPr>
            </w:pPr>
            <w:r w:rsidRPr="00F7606D">
              <w:rPr>
                <w:rFonts w:eastAsiaTheme="minorHAnsi" w:cs="AdvAGaramond-R"/>
                <w:i/>
                <w:color w:val="231F20"/>
                <w:szCs w:val="22"/>
                <w:u w:val="single"/>
                <w:lang w:val="en-GB" w:eastAsia="en-US"/>
              </w:rPr>
              <w:t>Key exclusion criteria:</w:t>
            </w:r>
            <w:r w:rsidRPr="00F7606D">
              <w:rPr>
                <w:rFonts w:eastAsiaTheme="minorHAnsi" w:cs="AdvAGaramond-R"/>
                <w:color w:val="231F20"/>
                <w:szCs w:val="22"/>
                <w:lang w:val="en-GB" w:eastAsia="en-US"/>
              </w:rPr>
              <w:t xml:space="preserve"> prior history of seizure activity</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AGaramond-R"/>
                <w:color w:val="231F20"/>
                <w:szCs w:val="22"/>
                <w:lang w:val="en-GB" w:eastAsia="en-US"/>
              </w:rPr>
            </w:pPr>
            <w:r w:rsidRPr="00F7606D">
              <w:rPr>
                <w:rFonts w:eastAsiaTheme="minorHAnsi" w:cs="AdvAGaramond-R"/>
                <w:color w:val="231F20"/>
                <w:szCs w:val="22"/>
                <w:lang w:val="en-GB" w:eastAsia="en-US"/>
              </w:rPr>
              <w:t>Prior use of either interferon or glatiramer acetate</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AGaramond-R"/>
                <w:i/>
                <w:color w:val="231F20"/>
                <w:szCs w:val="22"/>
                <w:u w:val="single"/>
                <w:lang w:val="en-GB" w:eastAsia="en-US"/>
              </w:rPr>
              <w:t>Baseline characteristics:</w:t>
            </w:r>
            <w:r w:rsidRPr="00F7606D">
              <w:rPr>
                <w:rFonts w:eastAsiaTheme="minorHAnsi" w:cs="AdvAGaramond-R"/>
                <w:color w:val="231F20"/>
                <w:szCs w:val="22"/>
                <w:lang w:val="en-GB" w:eastAsia="en-US"/>
              </w:rPr>
              <w:t xml:space="preserve"> Age: 38.0 +/- 10, 72% female, </w:t>
            </w:r>
            <w:r w:rsidRPr="00F7606D">
              <w:rPr>
                <w:rFonts w:eastAsiaTheme="minorHAnsi" w:cs="AdvP641C"/>
                <w:szCs w:val="22"/>
                <w:lang w:val="en-GB" w:eastAsia="en-US"/>
              </w:rPr>
              <w:t>EDSS score: 2.0 +/- 1.2</w:t>
            </w:r>
          </w:p>
        </w:tc>
      </w:tr>
      <w:tr w:rsidR="00EA7D99" w:rsidRPr="00B4105F"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shd w:val="clear" w:color="auto" w:fill="auto"/>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AGaramond-R"/>
                <w:color w:val="231F20"/>
                <w:szCs w:val="22"/>
                <w:lang w:val="en-GB" w:eastAsia="en-US"/>
              </w:rPr>
            </w:pPr>
            <w:r w:rsidRPr="00F7606D">
              <w:rPr>
                <w:rFonts w:cs="Arial"/>
                <w:color w:val="000000"/>
                <w:szCs w:val="22"/>
                <w:lang w:val="en-GB"/>
              </w:rPr>
              <w:t>Interferon beta-1a 30µg IM q.d and glatiramer acetate (GA) 20mg q.d</w:t>
            </w:r>
            <w:r w:rsidRPr="00F7606D">
              <w:rPr>
                <w:rFonts w:eastAsiaTheme="minorHAnsi" w:cs="AdvAGaramond-R"/>
                <w:color w:val="231F20"/>
                <w:szCs w:val="22"/>
                <w:lang w:val="en-GB" w:eastAsia="en-US"/>
              </w:rPr>
              <w:t xml:space="preserve"> (n=499) (This group was outside our scope)</w:t>
            </w:r>
          </w:p>
          <w:p w:rsidR="00EA7D99" w:rsidRPr="00B4105F" w:rsidRDefault="00EA7D99" w:rsidP="00EA7D99">
            <w:pPr>
              <w:tabs>
                <w:tab w:val="clear" w:pos="510"/>
              </w:tabs>
              <w:autoSpaceDE w:val="0"/>
              <w:autoSpaceDN w:val="0"/>
              <w:adjustRightInd w:val="0"/>
              <w:spacing w:line="240" w:lineRule="auto"/>
              <w:contextualSpacing/>
              <w:jc w:val="both"/>
              <w:rPr>
                <w:rFonts w:eastAsiaTheme="minorHAnsi" w:cs="AdvAGaramond-R"/>
                <w:color w:val="231F20"/>
                <w:szCs w:val="22"/>
                <w:lang w:val="pt-PT" w:eastAsia="en-US"/>
              </w:rPr>
            </w:pPr>
            <w:r w:rsidRPr="00B4105F">
              <w:rPr>
                <w:rFonts w:eastAsiaTheme="minorHAnsi" w:cs="AdvP641C"/>
                <w:szCs w:val="22"/>
                <w:lang w:val="pt-PT" w:eastAsia="en-US"/>
              </w:rPr>
              <w:t>G</w:t>
            </w:r>
            <w:r w:rsidRPr="00B4105F">
              <w:rPr>
                <w:rFonts w:cs="Arial"/>
                <w:color w:val="000000"/>
                <w:szCs w:val="22"/>
                <w:lang w:val="pt-PT"/>
              </w:rPr>
              <w:t>latiramer acetate 20mg q.d</w:t>
            </w:r>
            <w:r w:rsidRPr="00B4105F">
              <w:rPr>
                <w:rFonts w:eastAsiaTheme="minorHAnsi" w:cs="AdvAGaramond-R"/>
                <w:color w:val="231F20"/>
                <w:szCs w:val="22"/>
                <w:lang w:val="pt-PT" w:eastAsia="en-US"/>
              </w:rPr>
              <w:t xml:space="preserve"> (n=259)</w:t>
            </w:r>
          </w:p>
          <w:p w:rsidR="00EA7D99" w:rsidRPr="00B4105F" w:rsidRDefault="00EA7D99" w:rsidP="00EA7D99">
            <w:pPr>
              <w:tabs>
                <w:tab w:val="clear" w:pos="510"/>
              </w:tabs>
              <w:autoSpaceDE w:val="0"/>
              <w:autoSpaceDN w:val="0"/>
              <w:adjustRightInd w:val="0"/>
              <w:spacing w:line="240" w:lineRule="auto"/>
              <w:contextualSpacing/>
              <w:jc w:val="both"/>
              <w:rPr>
                <w:rFonts w:eastAsiaTheme="minorHAnsi" w:cs="AdvP641C"/>
                <w:szCs w:val="22"/>
                <w:lang w:val="pt-PT" w:eastAsia="en-US"/>
              </w:rPr>
            </w:pPr>
            <w:r w:rsidRPr="00B4105F">
              <w:rPr>
                <w:rFonts w:eastAsiaTheme="minorHAnsi" w:cs="AdvAGaramond-R"/>
                <w:color w:val="231F20"/>
                <w:szCs w:val="22"/>
                <w:lang w:val="pt-PT" w:eastAsia="en-US"/>
              </w:rPr>
              <w:t>I</w:t>
            </w:r>
            <w:r w:rsidRPr="00B4105F">
              <w:rPr>
                <w:rFonts w:cs="Arial"/>
                <w:color w:val="000000"/>
                <w:szCs w:val="22"/>
                <w:lang w:val="pt-PT"/>
              </w:rPr>
              <w:t xml:space="preserve">nterferon beta-1a 30µg IM q.w </w:t>
            </w:r>
            <w:r w:rsidRPr="00B4105F">
              <w:rPr>
                <w:rFonts w:eastAsiaTheme="minorHAnsi" w:cs="AdvAGaramond-R"/>
                <w:color w:val="231F20"/>
                <w:szCs w:val="22"/>
                <w:lang w:val="pt-PT" w:eastAsia="en-US"/>
              </w:rPr>
              <w:t>(n=250)</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P641C"/>
                <w:szCs w:val="22"/>
                <w:lang w:val="en-GB" w:eastAsia="en-US"/>
              </w:rPr>
              <w:t>Interventions were compared one with another</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w:t>
            </w:r>
            <w:r w:rsidRPr="00F7606D">
              <w:rPr>
                <w:rFonts w:ascii="Georgia" w:hAnsi="Georgia"/>
                <w:sz w:val="22"/>
                <w:szCs w:val="22"/>
                <w:u w:val="single"/>
                <w:lang w:val="en-GB"/>
              </w:rPr>
              <w:t>:</w:t>
            </w:r>
            <w:r w:rsidRPr="00F7606D">
              <w:rPr>
                <w:rFonts w:ascii="Georgia" w:hAnsi="Georgia"/>
                <w:sz w:val="22"/>
                <w:szCs w:val="22"/>
                <w:lang w:val="en-GB"/>
              </w:rPr>
              <w:t xml:space="preserve"> Annualized relapse rate.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Secondary endpoints</w:t>
            </w:r>
            <w:r w:rsidRPr="00F7606D">
              <w:rPr>
                <w:szCs w:val="22"/>
                <w:u w:val="single"/>
                <w:lang w:val="en-GB"/>
              </w:rPr>
              <w:t>:</w:t>
            </w:r>
            <w:r w:rsidRPr="00F7606D">
              <w:rPr>
                <w:szCs w:val="22"/>
                <w:lang w:val="en-GB"/>
              </w:rPr>
              <w:t xml:space="preserve"> Disability progression (EDSS change or MSFC change), different MRI outcomes.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Cs/>
                <w:sz w:val="22"/>
                <w:szCs w:val="22"/>
                <w:u w:val="single"/>
                <w:lang w:val="en-GB"/>
              </w:rPr>
              <w:t>Definitions used for:</w:t>
            </w:r>
            <w:r w:rsidRPr="00F7606D">
              <w:rPr>
                <w:rFonts w:ascii="Georgia" w:hAnsi="Georgia"/>
                <w:i/>
                <w:iCs/>
                <w:sz w:val="22"/>
                <w:szCs w:val="22"/>
                <w:lang w:val="en-GB"/>
              </w:rPr>
              <w:t xml:space="preserve"> </w:t>
            </w:r>
            <w:r w:rsidRPr="00F7606D">
              <w:rPr>
                <w:rFonts w:ascii="Georgia" w:hAnsi="Georgia"/>
                <w:i/>
                <w:iCs/>
                <w:sz w:val="22"/>
                <w:szCs w:val="22"/>
                <w:u w:val="single"/>
                <w:lang w:val="en-GB"/>
              </w:rPr>
              <w:t>Relapses</w:t>
            </w:r>
            <w:r w:rsidRPr="00F7606D">
              <w:rPr>
                <w:rFonts w:ascii="Georgia" w:hAnsi="Georgia"/>
                <w:sz w:val="22"/>
                <w:szCs w:val="22"/>
                <w:u w:val="single"/>
                <w:lang w:val="en-GB"/>
              </w:rPr>
              <w:t>:</w:t>
            </w:r>
            <w:r w:rsidRPr="00F7606D">
              <w:rPr>
                <w:rFonts w:ascii="Georgia" w:hAnsi="Georgia"/>
                <w:sz w:val="22"/>
                <w:szCs w:val="22"/>
                <w:lang w:val="en-GB"/>
              </w:rPr>
              <w:t xml:space="preserve"> New or worsening neurologic symptoms that lasted at least 24 hours without fever or infection, preceded by 30 days of stability.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i/>
                <w:iCs/>
                <w:szCs w:val="22"/>
                <w:u w:val="single"/>
                <w:lang w:val="en-GB"/>
              </w:rPr>
              <w:t>Disability progression</w:t>
            </w:r>
            <w:r w:rsidRPr="00F7606D">
              <w:rPr>
                <w:szCs w:val="22"/>
                <w:u w:val="single"/>
                <w:lang w:val="en-GB"/>
              </w:rPr>
              <w:t>:</w:t>
            </w:r>
            <w:r w:rsidRPr="00F7606D">
              <w:rPr>
                <w:szCs w:val="22"/>
                <w:lang w:val="en-GB"/>
              </w:rPr>
              <w:t xml:space="preserve"> 1.0 increase in the EDSS from baseline, when baseline ≤ 5.0; or an increase of 0.5 from baseline, when baseline ≥ 5.5, sustained for 6 months (2 successive quarterly visits), as assessed by the blinded EDSS examiner and confirmed centrally.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3 years</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Treatment-naïve (based on exclusion criteria)</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b/>
                <w:szCs w:val="22"/>
                <w:lang w:val="en-GB"/>
              </w:rPr>
            </w:pPr>
            <w:r w:rsidRPr="00F7606D">
              <w:rPr>
                <w:b/>
                <w:szCs w:val="22"/>
                <w:lang w:val="en-GB"/>
              </w:rPr>
              <w:t>Critical appraisal</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Randomization</w:t>
            </w:r>
          </w:p>
        </w:tc>
        <w:tc>
          <w:tcPr>
            <w:tcW w:w="5105" w:type="dxa"/>
            <w:tcBorders>
              <w:top w:val="single" w:sz="4" w:space="0" w:color="auto"/>
              <w:left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rFonts w:eastAsiaTheme="minorHAnsi" w:cs="AdvAGaramond-R"/>
                <w:color w:val="231F20"/>
                <w:szCs w:val="22"/>
                <w:lang w:val="en-GB" w:eastAsia="en-US"/>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Allocation concealement</w:t>
            </w:r>
          </w:p>
        </w:tc>
        <w:tc>
          <w:tcPr>
            <w:tcW w:w="5105" w:type="dxa"/>
            <w:tcBorders>
              <w:left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Double-blinding</w:t>
            </w:r>
          </w:p>
        </w:tc>
        <w:tc>
          <w:tcPr>
            <w:tcW w:w="5105" w:type="dxa"/>
            <w:tcBorders>
              <w:left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Baseline characteristic similarity</w:t>
            </w:r>
          </w:p>
        </w:tc>
        <w:tc>
          <w:tcPr>
            <w:tcW w:w="5105" w:type="dxa"/>
            <w:tcBorders>
              <w:left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Outcome measures</w:t>
            </w:r>
          </w:p>
        </w:tc>
        <w:tc>
          <w:tcPr>
            <w:tcW w:w="5105" w:type="dxa"/>
            <w:tcBorders>
              <w:left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Withdrawals</w:t>
            </w:r>
          </w:p>
        </w:tc>
        <w:tc>
          <w:tcPr>
            <w:tcW w:w="5105" w:type="dxa"/>
            <w:tcBorders>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18%</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ITT analysis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685670"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Funding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Public, study agents and placebo provided by manufacturer</w:t>
            </w:r>
          </w:p>
        </w:tc>
      </w:tr>
    </w:tbl>
    <w:p w:rsidR="00EA7D99" w:rsidRPr="00F7606D" w:rsidRDefault="00EA7D99" w:rsidP="00EA7D99">
      <w:pPr>
        <w:spacing w:after="160" w:line="240" w:lineRule="auto"/>
        <w:contextualSpacing/>
        <w:rPr>
          <w:b/>
        </w:rPr>
      </w:pPr>
    </w:p>
    <w:p w:rsidR="00EA7D99" w:rsidRPr="00F7606D" w:rsidRDefault="00EA7D99" w:rsidP="00EA7D99">
      <w:pPr>
        <w:spacing w:line="240" w:lineRule="auto"/>
        <w:contextualSpacing/>
        <w:rPr>
          <w:b/>
        </w:rPr>
      </w:pPr>
    </w:p>
    <w:p w:rsidR="00EA7D99" w:rsidRPr="00F7606D" w:rsidRDefault="00EA7D99" w:rsidP="00746324">
      <w:pPr>
        <w:pStyle w:val="31"/>
        <w:spacing w:line="240" w:lineRule="auto"/>
        <w:ind w:left="0" w:firstLine="0"/>
        <w:contextualSpacing/>
        <w:jc w:val="both"/>
        <w:rPr>
          <w:szCs w:val="22"/>
          <w:lang w:val="en-GB"/>
        </w:rPr>
      </w:pPr>
      <w:r w:rsidRPr="00F7606D">
        <w:rPr>
          <w:szCs w:val="22"/>
          <w:lang w:val="en-GB"/>
        </w:rPr>
        <w:t>Interferon beta 1a (im)</w:t>
      </w:r>
    </w:p>
    <w:p w:rsidR="00EA7D99" w:rsidRPr="00F7606D" w:rsidRDefault="00EA7D99" w:rsidP="00746324">
      <w:pPr>
        <w:pStyle w:val="41"/>
        <w:numPr>
          <w:ilvl w:val="0"/>
          <w:numId w:val="0"/>
        </w:numPr>
        <w:spacing w:line="240" w:lineRule="auto"/>
        <w:contextualSpacing/>
        <w:rPr>
          <w:szCs w:val="22"/>
          <w:lang w:val="en-GB"/>
        </w:rPr>
      </w:pPr>
      <w:r w:rsidRPr="00F7606D">
        <w:rPr>
          <w:szCs w:val="22"/>
          <w:lang w:val="en-GB"/>
        </w:rPr>
        <w:t>MSCRG (Multiple Sclerosis Collaborative Research Group) study 1996, Jacobs et al.</w:t>
      </w:r>
      <w:r w:rsidR="00204467" w:rsidRPr="00F7606D">
        <w:rPr>
          <w:szCs w:val="22"/>
          <w:lang w:val="en-GB"/>
        </w:rPr>
        <w:fldChar w:fldCharType="begin">
          <w:fldData xml:space="preserve">PEVuZE5vdGU+PENpdGU+PEF1dGhvcj5KYWNvYnM8L0F1dGhvcj48WWVhcj4xOTk2PC9ZZWFyPjxS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</w:fldData>
        </w:fldChar>
      </w:r>
      <w:r w:rsidRPr="00F7606D">
        <w:rPr>
          <w:szCs w:val="22"/>
          <w:lang w:val="en-GB"/>
        </w:rPr>
        <w:instrText xml:space="preserve"> ADDIN EN.CITE </w:instrText>
      </w:r>
      <w:r w:rsidR="00204467" w:rsidRPr="00F7606D">
        <w:rPr>
          <w:szCs w:val="22"/>
          <w:lang w:val="en-GB"/>
        </w:rPr>
        <w:fldChar w:fldCharType="begin">
          <w:fldData xml:space="preserve">PEVuZE5vdGU+PENpdGU+PEF1dGhvcj5KYWNvYnM8L0F1dGhvcj48WWVhcj4xOTk2PC9ZZWFyPjxS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</w:fldData>
        </w:fldChar>
      </w:r>
      <w:r w:rsidRPr="00F7606D">
        <w:rPr>
          <w:szCs w:val="22"/>
          <w:lang w:val="en-GB"/>
        </w:rPr>
        <w:instrText xml:space="preserve"> ADDIN EN.CITE.DATA </w:instrText>
      </w:r>
      <w:r w:rsidR="00204467" w:rsidRPr="00F7606D">
        <w:rPr>
          <w:szCs w:val="22"/>
          <w:lang w:val="en-GB"/>
        </w:rPr>
      </w:r>
      <w:r w:rsidR="00204467" w:rsidRPr="00F7606D">
        <w:rPr>
          <w:szCs w:val="22"/>
          <w:lang w:val="en-GB"/>
        </w:rPr>
        <w:fldChar w:fldCharType="end"/>
      </w:r>
      <w:r w:rsidR="00204467" w:rsidRPr="00F7606D">
        <w:rPr>
          <w:szCs w:val="22"/>
          <w:lang w:val="en-GB"/>
        </w:rPr>
      </w:r>
      <w:r w:rsidR="00204467" w:rsidRPr="00F7606D">
        <w:rPr>
          <w:szCs w:val="22"/>
          <w:lang w:val="en-GB"/>
        </w:rPr>
        <w:fldChar w:fldCharType="separate"/>
      </w:r>
      <w:r w:rsidRPr="00F7606D">
        <w:rPr>
          <w:noProof/>
          <w:szCs w:val="22"/>
          <w:lang w:val="en-GB"/>
        </w:rPr>
        <w:t>(</w:t>
      </w:r>
      <w:r w:rsidR="001E0F19">
        <w:rPr>
          <w:noProof/>
          <w:szCs w:val="22"/>
          <w:lang w:val="en-GB"/>
        </w:rPr>
        <w:t>1996</w:t>
      </w:r>
      <w:r w:rsidRPr="00F7606D">
        <w:rPr>
          <w:noProof/>
          <w:szCs w:val="22"/>
          <w:lang w:val="en-GB"/>
        </w:rPr>
        <w:t>)</w:t>
      </w:r>
      <w:r w:rsidR="00204467" w:rsidRPr="00F7606D">
        <w:rPr>
          <w:szCs w:val="22"/>
          <w:lang w:val="en-GB"/>
        </w:rPr>
        <w:fldChar w:fldCharType="end"/>
      </w:r>
      <w:r w:rsidRPr="00F7606D">
        <w:rPr>
          <w:szCs w:val="22"/>
          <w:lang w:val="en-GB"/>
        </w:rPr>
        <w:t xml:space="preserve">, included in </w:t>
      </w:r>
      <w:r w:rsidR="00663354">
        <w:rPr>
          <w:szCs w:val="22"/>
          <w:lang w:val="en-GB"/>
        </w:rPr>
        <w:t>Tran</w:t>
      </w:r>
      <w:r w:rsidRPr="00F7606D">
        <w:rPr>
          <w:szCs w:val="22"/>
          <w:lang w:val="en-GB"/>
        </w:rPr>
        <w:t xml:space="preserve"> et al. </w:t>
      </w:r>
      <w:r w:rsidR="00204467" w:rsidRPr="00F7606D">
        <w:rPr>
          <w:lang w:val="en-GB"/>
        </w:rPr>
        <w:fldChar w:fldCharType="begin"/>
      </w:r>
      <w:r w:rsidR="001E0F19"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001E0F19" w:rsidRPr="00F7606D">
        <w:rPr>
          <w:noProof/>
          <w:lang w:val="en-GB"/>
        </w:rPr>
        <w:t>(</w:t>
      </w:r>
      <w:r w:rsidR="001E0F19">
        <w:rPr>
          <w:noProof/>
          <w:lang w:val="en-GB"/>
        </w:rPr>
        <w:t>2013</w:t>
      </w:r>
      <w:r w:rsidR="001E0F19" w:rsidRPr="00F7606D">
        <w:rPr>
          <w:noProof/>
          <w:lang w:val="en-GB"/>
        </w:rPr>
        <w:t>)</w:t>
      </w:r>
      <w:r w:rsidR="00204467" w:rsidRPr="00F7606D">
        <w:rPr>
          <w:lang w:val="en-GB"/>
        </w:rPr>
        <w:fldChar w:fldCharType="end"/>
      </w:r>
    </w:p>
    <w:tbl>
      <w:tblPr>
        <w:tblStyle w:val="afff"/>
        <w:tblW w:w="9351" w:type="dxa"/>
        <w:tblLook w:val="04A0"/>
      </w:tblPr>
      <w:tblGrid>
        <w:gridCol w:w="2687"/>
        <w:gridCol w:w="1559"/>
        <w:gridCol w:w="5105"/>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Not reported</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rFonts w:eastAsiaTheme="minorHAnsi"/>
                <w:szCs w:val="22"/>
                <w:lang w:val="en-GB" w:eastAsia="en-US"/>
              </w:rPr>
              <w:t>Double-blind randomized controlled trial. 4 centres in the US</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i/>
                <w:iCs/>
                <w:szCs w:val="22"/>
                <w:u w:val="single"/>
                <w:lang w:val="en-GB"/>
              </w:rPr>
              <w:t>Eligibility criteria</w:t>
            </w:r>
            <w:r w:rsidRPr="00F7606D">
              <w:rPr>
                <w:szCs w:val="22"/>
                <w:u w:val="single"/>
                <w:lang w:val="en-GB"/>
              </w:rPr>
              <w:t>:</w:t>
            </w:r>
            <w:r w:rsidRPr="00F7606D">
              <w:rPr>
                <w:szCs w:val="22"/>
                <w:lang w:val="en-GB"/>
              </w:rPr>
              <w:t xml:space="preserve"> Age = 18 years to 55 years, diagnosis of relapsing MS (complete and incomplete remissions) (Poser et al.), EDSS = 1 to 3.5; had ≥ 2 relapses in previous 3 years, </w:t>
            </w:r>
            <w:r w:rsidRPr="00F7606D">
              <w:rPr>
                <w:rFonts w:eastAsiaTheme="minorHAnsi"/>
                <w:szCs w:val="22"/>
                <w:lang w:val="en-GB" w:eastAsia="en-US"/>
              </w:rPr>
              <w:t>no exacerbations for at least 2 months at study entry</w:t>
            </w: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Key exclusion criteria</w:t>
            </w:r>
            <w:r w:rsidRPr="00F7606D">
              <w:rPr>
                <w:rFonts w:ascii="Georgia" w:hAnsi="Georgia"/>
                <w:sz w:val="22"/>
                <w:szCs w:val="22"/>
                <w:u w:val="single"/>
                <w:lang w:val="en-GB"/>
              </w:rPr>
              <w:t>:</w:t>
            </w:r>
            <w:r w:rsidRPr="00F7606D">
              <w:rPr>
                <w:rFonts w:ascii="Georgia" w:hAnsi="Georgia"/>
                <w:sz w:val="22"/>
                <w:szCs w:val="22"/>
                <w:lang w:val="en-GB"/>
              </w:rPr>
              <w:t xml:space="preserve"> Prior immunosuppressant or IFN therapy; adrenocorticotropic hormone or corticosteroid treatment with 2 months of entry; pregnancy or nursing; unwillingness to practice contraception; presence of chronic-progressive MS, or any disease other than MS compromising organ function.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AGaramond-R"/>
                <w:i/>
                <w:color w:val="231F20"/>
                <w:szCs w:val="22"/>
                <w:u w:val="single"/>
                <w:lang w:val="en-GB" w:eastAsia="en-US"/>
              </w:rPr>
              <w:t>Baseline characteristics</w:t>
            </w:r>
            <w:r w:rsidRPr="00F7606D">
              <w:rPr>
                <w:rFonts w:eastAsiaTheme="minorHAnsi" w:cs="AdvAGaramond-R"/>
                <w:i/>
                <w:color w:val="231F20"/>
                <w:szCs w:val="22"/>
                <w:lang w:val="en-GB" w:eastAsia="en-US"/>
              </w:rPr>
              <w:t>:</w:t>
            </w:r>
            <w:r w:rsidRPr="00F7606D">
              <w:rPr>
                <w:rFonts w:eastAsiaTheme="minorHAnsi" w:cs="AdvAGaramond-R"/>
                <w:color w:val="231F20"/>
                <w:szCs w:val="22"/>
                <w:lang w:val="en-GB" w:eastAsia="en-US"/>
              </w:rPr>
              <w:t xml:space="preserve"> Age 37+/-7; 73% female; EDSS: 2.4+/-0.8</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sz w:val="22"/>
                <w:szCs w:val="22"/>
                <w:lang w:val="pt-PT"/>
              </w:rPr>
              <w:t>Interferon beta-l a 30 mcg IM q.w. (n=158)</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Placebo (n=143)</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w:t>
            </w:r>
            <w:r w:rsidRPr="00F7606D">
              <w:rPr>
                <w:rFonts w:ascii="Georgia" w:hAnsi="Georgia"/>
                <w:sz w:val="22"/>
                <w:szCs w:val="22"/>
                <w:u w:val="single"/>
                <w:lang w:val="en-GB"/>
              </w:rPr>
              <w:t>:</w:t>
            </w:r>
            <w:r w:rsidRPr="00F7606D">
              <w:rPr>
                <w:rFonts w:ascii="Georgia" w:hAnsi="Georgia"/>
                <w:sz w:val="22"/>
                <w:szCs w:val="22"/>
                <w:lang w:val="en-GB"/>
              </w:rPr>
              <w:t xml:space="preserve"> Time to onset of sustained worsening in disability.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Secondary endpoints</w:t>
            </w:r>
            <w:r w:rsidRPr="00F7606D">
              <w:rPr>
                <w:szCs w:val="22"/>
                <w:u w:val="single"/>
                <w:lang w:val="en-GB"/>
              </w:rPr>
              <w:t>:</w:t>
            </w:r>
            <w:r w:rsidRPr="00F7606D">
              <w:rPr>
                <w:szCs w:val="22"/>
                <w:lang w:val="en-GB"/>
              </w:rPr>
              <w:t xml:space="preserve"> Proportion of patients with relapses, annualized relapse rate, different MRI outcomes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Definitions used for endpoints:</w:t>
            </w:r>
            <w:r w:rsidRPr="00F7606D">
              <w:rPr>
                <w:rFonts w:ascii="Georgia" w:hAnsi="Georgia"/>
                <w:i/>
                <w:iCs/>
                <w:sz w:val="22"/>
                <w:szCs w:val="22"/>
                <w:lang w:val="en-GB"/>
              </w:rPr>
              <w:t xml:space="preserve"> </w:t>
            </w:r>
            <w:r w:rsidRPr="00F7606D">
              <w:rPr>
                <w:rFonts w:ascii="Georgia" w:hAnsi="Georgia"/>
                <w:i/>
                <w:iCs/>
                <w:sz w:val="22"/>
                <w:szCs w:val="22"/>
                <w:u w:val="single"/>
                <w:lang w:val="en-GB"/>
              </w:rPr>
              <w:t>Relapses</w:t>
            </w:r>
            <w:r w:rsidRPr="00F7606D">
              <w:rPr>
                <w:rFonts w:ascii="Georgia" w:hAnsi="Georgia"/>
                <w:sz w:val="22"/>
                <w:szCs w:val="22"/>
                <w:u w:val="single"/>
                <w:lang w:val="en-GB"/>
              </w:rPr>
              <w:t>:</w:t>
            </w:r>
            <w:r w:rsidRPr="00F7606D">
              <w:rPr>
                <w:rFonts w:ascii="Georgia" w:hAnsi="Georgia"/>
                <w:sz w:val="22"/>
                <w:szCs w:val="22"/>
                <w:lang w:val="en-GB"/>
              </w:rPr>
              <w:t xml:space="preserve"> The appearance of new neurological symptoms or worsening of pre-existing neurological symptoms lasting at least 48 hours in a patient who had been neurologically stable or improving for the previous 30 days, accompanied by objective change on neurological examination.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Disability progression</w:t>
            </w:r>
            <w:r w:rsidRPr="00F7606D">
              <w:rPr>
                <w:szCs w:val="22"/>
                <w:u w:val="single"/>
                <w:lang w:val="en-GB"/>
              </w:rPr>
              <w:t>:</w:t>
            </w:r>
            <w:r w:rsidRPr="00F7606D">
              <w:rPr>
                <w:szCs w:val="22"/>
                <w:lang w:val="en-GB"/>
              </w:rPr>
              <w:t xml:space="preserve"> Deterioration from baseline by at least 1.0 point on the EDSS persisting for at least 6 months.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2 years</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 xml:space="preserve">Treatment-naive (based on exclusion criteria, year of study, and clinical expert input). </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Randomization</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Allocation concealment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Double-blinding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Baseline characteristic similarity</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 measures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Withdrawals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8%</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ITT Analysis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rPr>
          <w:trHeight w:val="60"/>
        </w:trPr>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Funding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Public, manufacturer</w:t>
            </w:r>
          </w:p>
        </w:tc>
      </w:tr>
    </w:tbl>
    <w:p w:rsidR="00EA7D99" w:rsidRPr="00F7606D" w:rsidRDefault="00EA7D99" w:rsidP="00EA7D99">
      <w:pPr>
        <w:spacing w:after="160" w:line="240" w:lineRule="auto"/>
        <w:contextualSpacing/>
      </w:pPr>
    </w:p>
    <w:p w:rsidR="00EA7D99" w:rsidRPr="00F7606D" w:rsidRDefault="00EA7D99" w:rsidP="00EA7D99">
      <w:pPr>
        <w:spacing w:after="160" w:line="240" w:lineRule="auto"/>
        <w:contextualSpacing/>
      </w:pPr>
    </w:p>
    <w:p w:rsidR="00EA7D99" w:rsidRPr="00F7606D" w:rsidRDefault="00EA7D99" w:rsidP="00746324">
      <w:pPr>
        <w:pStyle w:val="41"/>
        <w:numPr>
          <w:ilvl w:val="0"/>
          <w:numId w:val="0"/>
        </w:numPr>
        <w:spacing w:line="240" w:lineRule="auto"/>
        <w:contextualSpacing/>
        <w:rPr>
          <w:rFonts w:eastAsiaTheme="minorHAnsi" w:cs="NewCenturySchlbk-Roman"/>
          <w:lang w:val="en-GB" w:eastAsia="en-US"/>
        </w:rPr>
      </w:pPr>
      <w:r w:rsidRPr="00F7606D">
        <w:rPr>
          <w:lang w:val="en-GB"/>
        </w:rPr>
        <w:t>EVIDENCE (</w:t>
      </w:r>
      <w:r w:rsidRPr="00F7606D">
        <w:rPr>
          <w:rFonts w:eastAsiaTheme="minorHAnsi" w:cs="NewCenturySchlbk-Roman"/>
          <w:lang w:val="en-GB" w:eastAsia="en-US"/>
        </w:rPr>
        <w:t xml:space="preserve">EVidence of Interferon Dose-response: European North American Comparative Efficacy) </w:t>
      </w:r>
      <w:r w:rsidRPr="00F7606D">
        <w:rPr>
          <w:lang w:val="en-GB"/>
        </w:rPr>
        <w:t>study 2002, Panitch et al.</w:t>
      </w:r>
      <w:r w:rsidR="001E0F19">
        <w:rPr>
          <w:lang w:val="en-GB"/>
        </w:rPr>
        <w:t>(</w:t>
      </w:r>
      <w:r w:rsidR="00204467" w:rsidRPr="00F7606D">
        <w:rPr>
          <w:lang w:val="en-GB"/>
        </w:rPr>
        <w:fldChar w:fldCharType="begin">
          <w:fldData xml:space="preserve">PEVuZE5vdGU+PENpdGU+PEF1dGhvcj5QYW5pdGNoPC9BdXRob3I+PFllYXI+MjAwMjwvWWVhcj48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==
</w:fldData>
        </w:fldChar>
      </w:r>
      <w:r w:rsidRPr="00F7606D">
        <w:rPr>
          <w:lang w:val="en-GB"/>
        </w:rPr>
        <w:instrText xml:space="preserve"> ADDIN EN.CITE </w:instrText>
      </w:r>
      <w:r w:rsidR="00204467" w:rsidRPr="00F7606D">
        <w:rPr>
          <w:lang w:val="en-GB"/>
        </w:rPr>
        <w:fldChar w:fldCharType="begin">
          <w:fldData xml:space="preserve">PEVuZE5vdGU+PENpdGU+PEF1dGhvcj5QYW5pdGNoPC9BdXRob3I+PFllYXI+MjAwMjwvWWVhcj48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==
</w:fldData>
        </w:fldChar>
      </w:r>
      <w:r w:rsidRPr="00F7606D">
        <w:rPr>
          <w:lang w:val="en-GB"/>
        </w:rPr>
        <w:instrText xml:space="preserve"> ADDIN EN.CITE.DATA </w:instrText>
      </w:r>
      <w:r w:rsidR="00204467" w:rsidRPr="00F7606D">
        <w:rPr>
          <w:lang w:val="en-GB"/>
        </w:rPr>
      </w:r>
      <w:r w:rsidR="00204467" w:rsidRPr="00F7606D">
        <w:rPr>
          <w:lang w:val="en-GB"/>
        </w:rPr>
        <w:fldChar w:fldCharType="end"/>
      </w:r>
      <w:r w:rsidR="00204467" w:rsidRPr="00F7606D">
        <w:rPr>
          <w:lang w:val="en-GB"/>
        </w:rPr>
      </w:r>
      <w:r w:rsidR="00204467" w:rsidRPr="00F7606D">
        <w:rPr>
          <w:lang w:val="en-GB"/>
        </w:rPr>
        <w:fldChar w:fldCharType="separate"/>
      </w:r>
      <w:r w:rsidR="001E0F19">
        <w:rPr>
          <w:noProof/>
          <w:lang w:val="en-GB"/>
        </w:rPr>
        <w:t>2002</w:t>
      </w:r>
      <w:r w:rsidRPr="00F7606D">
        <w:rPr>
          <w:noProof/>
          <w:lang w:val="en-GB"/>
        </w:rPr>
        <w:t>)</w:t>
      </w:r>
      <w:r w:rsidR="00204467" w:rsidRPr="00F7606D">
        <w:rPr>
          <w:lang w:val="en-GB"/>
        </w:rPr>
        <w:fldChar w:fldCharType="end"/>
      </w:r>
      <w:r w:rsidRPr="00F7606D">
        <w:rPr>
          <w:lang w:val="en-GB"/>
        </w:rPr>
        <w:t xml:space="preserve">, included in </w:t>
      </w:r>
      <w:r w:rsidR="00663354">
        <w:rPr>
          <w:lang w:val="en-GB"/>
        </w:rPr>
        <w:t>Tran</w:t>
      </w:r>
      <w:r w:rsidRPr="00F7606D">
        <w:rPr>
          <w:lang w:val="en-GB"/>
        </w:rPr>
        <w:t xml:space="preserve"> et al. </w:t>
      </w:r>
      <w:r w:rsidR="00204467" w:rsidRPr="00F7606D">
        <w:rPr>
          <w:lang w:val="en-GB"/>
        </w:rPr>
        <w:fldChar w:fldCharType="begin"/>
      </w:r>
      <w:r w:rsidR="001E0F19"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001E0F19" w:rsidRPr="00F7606D">
        <w:rPr>
          <w:noProof/>
          <w:lang w:val="en-GB"/>
        </w:rPr>
        <w:t>(</w:t>
      </w:r>
      <w:r w:rsidR="001E0F19">
        <w:rPr>
          <w:noProof/>
          <w:lang w:val="en-GB"/>
        </w:rPr>
        <w:t>2013</w:t>
      </w:r>
      <w:r w:rsidR="001E0F19" w:rsidRPr="00F7606D">
        <w:rPr>
          <w:noProof/>
          <w:lang w:val="en-GB"/>
        </w:rPr>
        <w:t>)</w:t>
      </w:r>
      <w:r w:rsidR="00204467" w:rsidRPr="00F7606D">
        <w:rPr>
          <w:lang w:val="en-GB"/>
        </w:rPr>
        <w:fldChar w:fldCharType="end"/>
      </w:r>
    </w:p>
    <w:tbl>
      <w:tblPr>
        <w:tblStyle w:val="afff"/>
        <w:tblW w:w="9351" w:type="dxa"/>
        <w:tblLook w:val="04A0"/>
      </w:tblPr>
      <w:tblGrid>
        <w:gridCol w:w="2687"/>
        <w:gridCol w:w="1559"/>
        <w:gridCol w:w="5105"/>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Not reported</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 xml:space="preserve">Rater-blinded, randomized, placebo-controlled trial in 56 centres in Europe, Canada, and US.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Eligibility criteria</w:t>
            </w:r>
            <w:r w:rsidRPr="00F7606D">
              <w:rPr>
                <w:rFonts w:ascii="Georgia" w:hAnsi="Georgia"/>
                <w:sz w:val="22"/>
                <w:szCs w:val="22"/>
                <w:u w:val="single"/>
                <w:lang w:val="en-GB"/>
              </w:rPr>
              <w:t>:</w:t>
            </w:r>
            <w:r w:rsidRPr="00F7606D">
              <w:rPr>
                <w:rFonts w:ascii="Georgia" w:hAnsi="Georgia"/>
                <w:sz w:val="22"/>
                <w:szCs w:val="22"/>
                <w:lang w:val="en-GB"/>
              </w:rPr>
              <w:t xml:space="preserve"> Age = 18 years to 55 years, IFN-naive patients with definite RRMS (Poser et al.), EDSS = 0 to 5.5; ≥ 2 exacerbations of MS in the prior 2 years.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i/>
                <w:iCs/>
                <w:szCs w:val="22"/>
                <w:u w:val="single"/>
                <w:lang w:val="en-GB"/>
              </w:rPr>
              <w:t>Key exclusion criteria</w:t>
            </w:r>
            <w:r w:rsidRPr="00F7606D">
              <w:rPr>
                <w:i/>
                <w:szCs w:val="22"/>
                <w:u w:val="single"/>
                <w:lang w:val="en-GB"/>
              </w:rPr>
              <w:t>:</w:t>
            </w:r>
            <w:r w:rsidRPr="00F7606D">
              <w:rPr>
                <w:szCs w:val="22"/>
                <w:lang w:val="en-GB"/>
              </w:rPr>
              <w:t xml:space="preserve"> use of defined treatments in previous periods.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P641C"/>
                <w:i/>
                <w:szCs w:val="22"/>
                <w:u w:val="single"/>
                <w:lang w:val="en-GB" w:eastAsia="en-US"/>
              </w:rPr>
              <w:t>Baseline characteristics in-</w:t>
            </w:r>
            <w:r w:rsidRPr="00F7606D">
              <w:rPr>
                <w:rFonts w:eastAsiaTheme="minorHAnsi" w:cs="Arial"/>
                <w:bCs/>
                <w:i/>
                <w:szCs w:val="22"/>
                <w:u w:val="single"/>
                <w:lang w:val="en-GB" w:eastAsia="en-US"/>
              </w:rPr>
              <w:t>30 mcg IM q.w group</w:t>
            </w:r>
            <w:r w:rsidRPr="00F7606D">
              <w:rPr>
                <w:rFonts w:eastAsiaTheme="minorHAnsi" w:cs="AdvP641C"/>
                <w:i/>
                <w:szCs w:val="22"/>
                <w:u w:val="single"/>
                <w:lang w:val="en-GB" w:eastAsia="en-US"/>
              </w:rPr>
              <w:t>:</w:t>
            </w:r>
            <w:r w:rsidRPr="00F7606D">
              <w:rPr>
                <w:rFonts w:eastAsiaTheme="minorHAnsi" w:cs="AdvP641C"/>
                <w:szCs w:val="22"/>
                <w:lang w:val="en-GB" w:eastAsia="en-US"/>
              </w:rPr>
              <w:t xml:space="preserve">  Age 37,4 years (range 18-55), 74,6%female, EDSS median 2,0 mean 2,3</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tabs>
                <w:tab w:val="clear" w:pos="510"/>
              </w:tabs>
              <w:autoSpaceDE w:val="0"/>
              <w:autoSpaceDN w:val="0"/>
              <w:adjustRightInd w:val="0"/>
              <w:spacing w:line="240" w:lineRule="auto"/>
              <w:contextualSpacing/>
              <w:jc w:val="both"/>
              <w:rPr>
                <w:rFonts w:eastAsiaTheme="minorHAnsi" w:cs="Arial"/>
                <w:szCs w:val="22"/>
                <w:lang w:val="pt-PT" w:eastAsia="en-US"/>
              </w:rPr>
            </w:pPr>
            <w:r w:rsidRPr="00B4105F">
              <w:rPr>
                <w:rFonts w:eastAsiaTheme="minorHAnsi" w:cs="Arial"/>
                <w:bCs/>
                <w:szCs w:val="22"/>
                <w:lang w:val="pt-PT" w:eastAsia="en-US"/>
              </w:rPr>
              <w:t xml:space="preserve">Interferon beta-1a 30 mcg IM q.w. </w:t>
            </w:r>
            <w:r w:rsidRPr="00B4105F">
              <w:rPr>
                <w:rFonts w:eastAsiaTheme="minorHAnsi" w:cs="Arial"/>
                <w:szCs w:val="22"/>
                <w:lang w:val="pt-PT" w:eastAsia="en-US"/>
              </w:rPr>
              <w:t>(n = 338)</w:t>
            </w:r>
          </w:p>
          <w:p w:rsidR="00EA7D99" w:rsidRPr="00B4105F" w:rsidRDefault="00EA7D99" w:rsidP="00EA7D99">
            <w:pPr>
              <w:tabs>
                <w:tab w:val="clear" w:pos="510"/>
              </w:tabs>
              <w:autoSpaceDE w:val="0"/>
              <w:autoSpaceDN w:val="0"/>
              <w:adjustRightInd w:val="0"/>
              <w:spacing w:line="240" w:lineRule="auto"/>
              <w:contextualSpacing/>
              <w:jc w:val="both"/>
              <w:rPr>
                <w:rFonts w:eastAsiaTheme="minorHAnsi" w:cs="AdvP641C"/>
                <w:szCs w:val="22"/>
                <w:lang w:val="pt-PT" w:eastAsia="en-US"/>
              </w:rPr>
            </w:pPr>
            <w:r w:rsidRPr="00B4105F">
              <w:rPr>
                <w:rFonts w:eastAsiaTheme="minorHAnsi" w:cs="Arial"/>
                <w:bCs/>
                <w:szCs w:val="22"/>
                <w:lang w:val="pt-PT" w:eastAsia="en-US"/>
              </w:rPr>
              <w:t xml:space="preserve">Interferon beta-1a 44 mcg SC t.i.w. </w:t>
            </w:r>
            <w:r w:rsidRPr="00B4105F">
              <w:rPr>
                <w:rFonts w:eastAsiaTheme="minorHAnsi" w:cs="Arial"/>
                <w:szCs w:val="22"/>
                <w:lang w:val="pt-PT" w:eastAsia="en-US"/>
              </w:rPr>
              <w:t>(n = 339)</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P641C"/>
                <w:szCs w:val="22"/>
                <w:lang w:val="en-GB" w:eastAsia="en-US"/>
              </w:rPr>
              <w:t>These drugs were compared one with another</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w:t>
            </w:r>
            <w:r w:rsidRPr="00F7606D">
              <w:rPr>
                <w:rFonts w:ascii="Georgia" w:hAnsi="Georgia"/>
                <w:sz w:val="22"/>
                <w:szCs w:val="22"/>
                <w:u w:val="single"/>
                <w:lang w:val="en-GB"/>
              </w:rPr>
              <w:t>:</w:t>
            </w:r>
            <w:r w:rsidRPr="00F7606D">
              <w:rPr>
                <w:rFonts w:ascii="Georgia" w:hAnsi="Georgia"/>
                <w:sz w:val="22"/>
                <w:szCs w:val="22"/>
                <w:lang w:val="en-GB"/>
              </w:rPr>
              <w:t xml:space="preserve"> Proportion of patients who were relapse-free at 24 weeks.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Secondary endpoints</w:t>
            </w:r>
            <w:r w:rsidRPr="00F7606D">
              <w:rPr>
                <w:szCs w:val="22"/>
                <w:u w:val="single"/>
                <w:lang w:val="en-GB"/>
              </w:rPr>
              <w:t>:</w:t>
            </w:r>
            <w:r w:rsidRPr="00F7606D">
              <w:rPr>
                <w:szCs w:val="22"/>
                <w:lang w:val="en-GB"/>
              </w:rPr>
              <w:t xml:space="preserve"> Relapse, disability, and MRI outcomes at 48 weeks.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szCs w:val="22"/>
                <w:u w:val="single"/>
                <w:lang w:val="en-GB"/>
              </w:rPr>
              <w:t>Definitions used for endpoints:</w:t>
            </w:r>
            <w:r w:rsidRPr="00F7606D">
              <w:rPr>
                <w:szCs w:val="22"/>
                <w:lang w:val="en-GB"/>
              </w:rPr>
              <w:t xml:space="preserve"> </w:t>
            </w:r>
            <w:r w:rsidRPr="00F7606D">
              <w:rPr>
                <w:i/>
                <w:iCs/>
                <w:szCs w:val="22"/>
                <w:u w:val="single"/>
                <w:lang w:val="en-GB"/>
              </w:rPr>
              <w:t>Relapses</w:t>
            </w:r>
            <w:r w:rsidRPr="00F7606D">
              <w:rPr>
                <w:szCs w:val="22"/>
                <w:u w:val="single"/>
                <w:lang w:val="en-GB"/>
              </w:rPr>
              <w:t>:</w:t>
            </w:r>
            <w:r w:rsidRPr="00F7606D">
              <w:rPr>
                <w:szCs w:val="22"/>
                <w:lang w:val="en-GB"/>
              </w:rPr>
              <w:t xml:space="preserve"> The appearance of new symptoms or worsening of an old symptom, accompanied by an appropriate objective finding on neurologic examination by the blinded evaluator, lasting at least 24 hours in the absence of fever and preceded by at least 30 days of clinical stability or improvement.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i/>
                <w:iCs/>
                <w:szCs w:val="22"/>
                <w:u w:val="single"/>
                <w:lang w:val="en-GB"/>
              </w:rPr>
              <w:t>Disability</w:t>
            </w:r>
            <w:r w:rsidRPr="00F7606D">
              <w:rPr>
                <w:szCs w:val="22"/>
                <w:u w:val="single"/>
                <w:lang w:val="en-GB"/>
              </w:rPr>
              <w:t>:</w:t>
            </w:r>
            <w:r w:rsidRPr="00F7606D">
              <w:rPr>
                <w:szCs w:val="22"/>
                <w:lang w:val="en-GB"/>
              </w:rPr>
              <w:t xml:space="preserve"> Progression by one point on the EDSS scale confirmed at a visit 3 or 6 months later without an intervening EDSS value that would not meet the criteria for progression.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24 weeks (treatment for 24 weeks, follow-up until 48 weeks)</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szCs w:val="22"/>
                <w:lang w:val="en-GB"/>
              </w:rPr>
            </w:pPr>
            <w:r w:rsidRPr="00F7606D">
              <w:rPr>
                <w:szCs w:val="22"/>
                <w:lang w:val="en-GB"/>
              </w:rPr>
              <w:t>Unclear (inadequate information to characterise)</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Randomization</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Allocation concealment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Double-blinding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 (rater-blinded)</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Baseline characteristic similarity</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 measures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Withdrawals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4%</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ITT Analysis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Funding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Manufacturer</w:t>
            </w:r>
          </w:p>
        </w:tc>
      </w:tr>
    </w:tbl>
    <w:p w:rsidR="00EA7D99" w:rsidRPr="00F7606D" w:rsidRDefault="00EA7D99" w:rsidP="00EA7D99">
      <w:pPr>
        <w:spacing w:line="240" w:lineRule="auto"/>
        <w:contextualSpacing/>
        <w:jc w:val="both"/>
      </w:pPr>
    </w:p>
    <w:p w:rsidR="00EA7D99" w:rsidRPr="00F7606D" w:rsidRDefault="00EA7D99" w:rsidP="00746324">
      <w:pPr>
        <w:pStyle w:val="41"/>
        <w:numPr>
          <w:ilvl w:val="0"/>
          <w:numId w:val="0"/>
        </w:numPr>
        <w:spacing w:line="240" w:lineRule="auto"/>
        <w:contextualSpacing/>
        <w:jc w:val="both"/>
        <w:rPr>
          <w:szCs w:val="22"/>
          <w:lang w:val="en-GB"/>
        </w:rPr>
      </w:pPr>
      <w:r w:rsidRPr="00F7606D">
        <w:rPr>
          <w:szCs w:val="22"/>
          <w:lang w:val="en-GB"/>
        </w:rPr>
        <w:t>INCOMIN (</w:t>
      </w:r>
      <w:r w:rsidRPr="00F7606D">
        <w:rPr>
          <w:rFonts w:eastAsiaTheme="minorHAnsi" w:cs="Plantin"/>
          <w:szCs w:val="22"/>
          <w:lang w:val="en-GB" w:eastAsia="en-US"/>
        </w:rPr>
        <w:t xml:space="preserve">INdependent COMparison of INterferons) study, </w:t>
      </w:r>
      <w:r w:rsidRPr="00F7606D">
        <w:rPr>
          <w:szCs w:val="22"/>
          <w:lang w:val="en-GB"/>
        </w:rPr>
        <w:t>Durelli et al.</w:t>
      </w:r>
      <w:r w:rsidR="00852BF9">
        <w:rPr>
          <w:szCs w:val="22"/>
          <w:lang w:val="en-GB"/>
        </w:rPr>
        <w:t xml:space="preserve"> (</w:t>
      </w:r>
      <w:r w:rsidRPr="00F7606D">
        <w:rPr>
          <w:szCs w:val="22"/>
          <w:lang w:val="en-GB"/>
        </w:rPr>
        <w:t>2002</w:t>
      </w:r>
      <w:r w:rsidR="00852BF9">
        <w:rPr>
          <w:szCs w:val="22"/>
          <w:lang w:val="en-GB"/>
        </w:rPr>
        <w:t>)</w:t>
      </w:r>
      <w:r w:rsidRPr="00F7606D">
        <w:rPr>
          <w:szCs w:val="22"/>
          <w:lang w:val="en-GB"/>
        </w:rPr>
        <w:t xml:space="preserve">, included in </w:t>
      </w:r>
      <w:r w:rsidR="00663354">
        <w:rPr>
          <w:szCs w:val="22"/>
          <w:lang w:val="en-GB"/>
        </w:rPr>
        <w:t>Tran</w:t>
      </w:r>
      <w:r w:rsidRPr="00F7606D">
        <w:rPr>
          <w:szCs w:val="22"/>
          <w:lang w:val="en-GB"/>
        </w:rPr>
        <w:t xml:space="preserve"> et al. </w:t>
      </w:r>
      <w:r w:rsidR="00204467" w:rsidRPr="00F7606D">
        <w:rPr>
          <w:lang w:val="en-GB"/>
        </w:rPr>
        <w:fldChar w:fldCharType="begin"/>
      </w:r>
      <w:r w:rsidR="001E0F19"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001E0F19" w:rsidRPr="00F7606D">
        <w:rPr>
          <w:noProof/>
          <w:lang w:val="en-GB"/>
        </w:rPr>
        <w:t>(</w:t>
      </w:r>
      <w:r w:rsidR="001E0F19">
        <w:rPr>
          <w:noProof/>
          <w:lang w:val="en-GB"/>
        </w:rPr>
        <w:t>2013</w:t>
      </w:r>
      <w:r w:rsidR="001E0F19" w:rsidRPr="00F7606D">
        <w:rPr>
          <w:noProof/>
          <w:lang w:val="en-GB"/>
        </w:rPr>
        <w:t>)</w:t>
      </w:r>
      <w:r w:rsidR="00204467" w:rsidRPr="00F7606D">
        <w:rPr>
          <w:lang w:val="en-GB"/>
        </w:rPr>
        <w:fldChar w:fldCharType="end"/>
      </w:r>
    </w:p>
    <w:tbl>
      <w:tblPr>
        <w:tblStyle w:val="afff"/>
        <w:tblW w:w="9351" w:type="dxa"/>
        <w:tblLook w:val="04A0"/>
      </w:tblPr>
      <w:tblGrid>
        <w:gridCol w:w="2687"/>
        <w:gridCol w:w="1559"/>
        <w:gridCol w:w="5105"/>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Plantin"/>
                <w:szCs w:val="22"/>
                <w:lang w:val="en-GB" w:eastAsia="en-US"/>
              </w:rPr>
            </w:pPr>
            <w:r w:rsidRPr="00F7606D">
              <w:rPr>
                <w:rFonts w:eastAsiaTheme="minorHAnsi" w:cs="Plantin"/>
                <w:szCs w:val="22"/>
                <w:lang w:val="en-GB" w:eastAsia="en-US"/>
              </w:rPr>
              <w:t>Not reported</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 xml:space="preserve">Open label, rater-masked, randomized controlled trial in 15 centres in Italy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Eligibility criteria</w:t>
            </w:r>
            <w:r w:rsidRPr="00F7606D">
              <w:rPr>
                <w:rFonts w:ascii="Georgia" w:hAnsi="Georgia"/>
                <w:sz w:val="22"/>
                <w:szCs w:val="22"/>
                <w:u w:val="single"/>
                <w:lang w:val="en-GB"/>
              </w:rPr>
              <w:t>:</w:t>
            </w:r>
            <w:r w:rsidRPr="00F7606D">
              <w:rPr>
                <w:rFonts w:ascii="Georgia" w:hAnsi="Georgia"/>
                <w:sz w:val="22"/>
                <w:szCs w:val="22"/>
                <w:lang w:val="en-GB"/>
              </w:rPr>
              <w:t xml:space="preserve"> Age = 18 years to 50 years, clinically definite RRMS (Poser et al.), EDSS = 1-3.5; had two clinically documented relapses during the preceding 2 years, and no relapse (and no corticosteroid treatment) for at least 30 days before the study entry.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Key exclusion criteria</w:t>
            </w:r>
            <w:r w:rsidRPr="00F7606D">
              <w:rPr>
                <w:szCs w:val="22"/>
                <w:u w:val="single"/>
                <w:lang w:val="en-GB"/>
              </w:rPr>
              <w:t>:</w:t>
            </w:r>
            <w:r w:rsidRPr="00F7606D">
              <w:rPr>
                <w:szCs w:val="22"/>
                <w:lang w:val="en-GB"/>
              </w:rPr>
              <w:t xml:space="preserve"> Previous systemic treatment with IFN beta or treatment with other immunosuppressive or immunomodulatory drugs (except corticosteroids);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P641C"/>
                <w:i/>
                <w:szCs w:val="22"/>
                <w:u w:val="single"/>
                <w:lang w:val="en-GB" w:eastAsia="en-US"/>
              </w:rPr>
              <w:t>Baseline characteristics:</w:t>
            </w:r>
            <w:r w:rsidRPr="00F7606D">
              <w:rPr>
                <w:rFonts w:eastAsiaTheme="minorHAnsi" w:cs="AdvP641C"/>
                <w:szCs w:val="22"/>
                <w:lang w:val="en-GB" w:eastAsia="en-US"/>
              </w:rPr>
              <w:t xml:space="preserve"> Age 37+/-8; 65% female; EDSS 2,0+/-0,7</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 xml:space="preserve">Interferon beta-1a 30 mcg IM q.w. </w:t>
            </w:r>
            <w:r w:rsidRPr="00B4105F">
              <w:rPr>
                <w:rFonts w:ascii="Georgia" w:hAnsi="Georgia"/>
                <w:sz w:val="22"/>
                <w:szCs w:val="22"/>
                <w:lang w:val="pt-PT"/>
              </w:rPr>
              <w:t xml:space="preserve">(n = 92)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bCs/>
                <w:sz w:val="22"/>
                <w:szCs w:val="22"/>
                <w:lang w:val="en-GB"/>
              </w:rPr>
              <w:t xml:space="preserve">Interferon beta-1b 250 mcg SC every other day </w:t>
            </w:r>
            <w:r w:rsidRPr="00F7606D">
              <w:rPr>
                <w:rFonts w:ascii="Georgia" w:hAnsi="Georgia"/>
                <w:sz w:val="22"/>
                <w:szCs w:val="22"/>
                <w:lang w:val="en-GB"/>
              </w:rPr>
              <w:t xml:space="preserve">(n = 96)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w:t>
            </w:r>
            <w:r w:rsidRPr="00F7606D">
              <w:rPr>
                <w:rFonts w:ascii="Georgia" w:hAnsi="Georgia"/>
                <w:sz w:val="22"/>
                <w:szCs w:val="22"/>
                <w:u w:val="single"/>
                <w:lang w:val="en-GB"/>
              </w:rPr>
              <w:t>:</w:t>
            </w:r>
            <w:r w:rsidRPr="00F7606D">
              <w:rPr>
                <w:rFonts w:ascii="Georgia" w:hAnsi="Georgia"/>
                <w:sz w:val="22"/>
                <w:szCs w:val="22"/>
                <w:lang w:val="en-GB"/>
              </w:rPr>
              <w:t xml:space="preserve"> Proportions of patients free from relapses during 24 months.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Secondary endpoints</w:t>
            </w:r>
            <w:r w:rsidRPr="00F7606D">
              <w:rPr>
                <w:szCs w:val="22"/>
                <w:u w:val="single"/>
                <w:lang w:val="en-GB"/>
              </w:rPr>
              <w:t>:</w:t>
            </w:r>
            <w:r w:rsidRPr="00F7606D">
              <w:rPr>
                <w:szCs w:val="22"/>
                <w:lang w:val="en-GB"/>
              </w:rPr>
              <w:t xml:space="preserve"> Annualized relapse rate, annualized treated relapse rate, proportion of patients free from sustained and confirmed progression from disability, EDSS score, time to sustained and confirmed progression in disability. </w:t>
            </w:r>
          </w:p>
          <w:p w:rsidR="00EA7D99" w:rsidRPr="00F7606D" w:rsidRDefault="00EA7D99" w:rsidP="00EA7D99">
            <w:pPr>
              <w:pStyle w:val="Default"/>
              <w:contextualSpacing/>
              <w:jc w:val="both"/>
              <w:rPr>
                <w:rFonts w:ascii="Georgia" w:hAnsi="Georgia"/>
                <w:i/>
                <w:iCs/>
                <w:sz w:val="22"/>
                <w:szCs w:val="22"/>
                <w:u w:val="single"/>
                <w:lang w:val="en-GB"/>
              </w:rPr>
            </w:pP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szCs w:val="22"/>
                <w:u w:val="single"/>
                <w:lang w:val="en-GB"/>
              </w:rPr>
              <w:t>Definitions used for endpoints:</w:t>
            </w:r>
            <w:r w:rsidRPr="00F7606D">
              <w:rPr>
                <w:szCs w:val="22"/>
                <w:lang w:val="en-GB"/>
              </w:rPr>
              <w:t xml:space="preserve"> </w:t>
            </w:r>
            <w:r w:rsidRPr="00F7606D">
              <w:rPr>
                <w:i/>
                <w:iCs/>
                <w:szCs w:val="22"/>
                <w:u w:val="single"/>
                <w:lang w:val="en-GB"/>
              </w:rPr>
              <w:t>Relapses</w:t>
            </w:r>
            <w:r w:rsidRPr="00F7606D">
              <w:rPr>
                <w:szCs w:val="22"/>
                <w:u w:val="single"/>
                <w:lang w:val="en-GB"/>
              </w:rPr>
              <w:t>:</w:t>
            </w:r>
            <w:r w:rsidRPr="00F7606D">
              <w:rPr>
                <w:szCs w:val="22"/>
                <w:lang w:val="en-GB"/>
              </w:rPr>
              <w:t xml:space="preserve"> The occurrence of new neurological symptoms or worsening of an old one, with an objective change of at least one point in Kurtzke Functional System Scores, lasting at least 24 hours, without fever, and which followed a period of clinical stability or of improvement of at least 30 days.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i/>
                <w:iCs/>
                <w:szCs w:val="22"/>
                <w:u w:val="single"/>
                <w:lang w:val="en-GB"/>
              </w:rPr>
              <w:t>Disability progression</w:t>
            </w:r>
            <w:r w:rsidRPr="00F7606D">
              <w:rPr>
                <w:szCs w:val="22"/>
                <w:u w:val="single"/>
                <w:lang w:val="en-GB"/>
              </w:rPr>
              <w:t>:</w:t>
            </w:r>
            <w:r w:rsidRPr="00F7606D">
              <w:rPr>
                <w:szCs w:val="22"/>
                <w:lang w:val="en-GB"/>
              </w:rPr>
              <w:t xml:space="preserve"> An increase in EDSS of at least 1 point sustained for at least 6 months and confirmed at the end of follow-up.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2 years</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 xml:space="preserve">Treatment-naive (based on exclusion criteria). </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Randomization</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 xml:space="preserve">Adequate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Allocation concealment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Double-blinding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 (rater-masked)</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Baseline characteristic similarity</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 measures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Withdrawals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16%</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ITT Analysis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Funding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Public</w:t>
            </w:r>
          </w:p>
        </w:tc>
      </w:tr>
    </w:tbl>
    <w:p w:rsidR="00EA7D99" w:rsidRPr="00F7606D" w:rsidRDefault="00EA7D99" w:rsidP="00EA7D99">
      <w:pPr>
        <w:spacing w:line="240" w:lineRule="auto"/>
        <w:contextualSpacing/>
        <w:jc w:val="both"/>
      </w:pPr>
    </w:p>
    <w:p w:rsidR="00EA7D99" w:rsidRPr="00F7606D" w:rsidRDefault="00EA7D99" w:rsidP="00746324">
      <w:pPr>
        <w:pStyle w:val="41"/>
        <w:numPr>
          <w:ilvl w:val="0"/>
          <w:numId w:val="0"/>
        </w:numPr>
        <w:spacing w:line="240" w:lineRule="auto"/>
        <w:contextualSpacing/>
        <w:rPr>
          <w:szCs w:val="22"/>
          <w:lang w:val="en-GB"/>
        </w:rPr>
      </w:pPr>
      <w:r w:rsidRPr="00F7606D">
        <w:rPr>
          <w:szCs w:val="22"/>
          <w:lang w:val="en-GB"/>
        </w:rPr>
        <w:t>Clanet et al.,</w:t>
      </w:r>
      <w:r w:rsidR="00852BF9">
        <w:rPr>
          <w:szCs w:val="22"/>
          <w:lang w:val="en-GB"/>
        </w:rPr>
        <w:t xml:space="preserve"> (</w:t>
      </w:r>
      <w:r w:rsidRPr="00F7606D">
        <w:rPr>
          <w:szCs w:val="22"/>
          <w:lang w:val="en-GB"/>
        </w:rPr>
        <w:t xml:space="preserve"> 2002 </w:t>
      </w:r>
      <w:r w:rsidR="00852BF9">
        <w:rPr>
          <w:szCs w:val="22"/>
          <w:lang w:val="en-GB"/>
        </w:rPr>
        <w:t>)</w:t>
      </w:r>
      <w:r w:rsidRPr="00F7606D">
        <w:rPr>
          <w:szCs w:val="22"/>
          <w:lang w:val="en-GB"/>
        </w:rPr>
        <w:t xml:space="preserve">, included in </w:t>
      </w:r>
      <w:r w:rsidR="00663354">
        <w:rPr>
          <w:szCs w:val="22"/>
          <w:lang w:val="en-GB"/>
        </w:rPr>
        <w:t>Tran</w:t>
      </w:r>
      <w:r w:rsidRPr="00F7606D">
        <w:rPr>
          <w:szCs w:val="22"/>
          <w:lang w:val="en-GB"/>
        </w:rPr>
        <w:t xml:space="preserve"> et al. </w:t>
      </w:r>
      <w:r w:rsidR="00204467" w:rsidRPr="00F7606D">
        <w:rPr>
          <w:lang w:val="en-GB"/>
        </w:rPr>
        <w:fldChar w:fldCharType="begin"/>
      </w:r>
      <w:r w:rsidR="00852BF9"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00852BF9" w:rsidRPr="00F7606D">
        <w:rPr>
          <w:noProof/>
          <w:lang w:val="en-GB"/>
        </w:rPr>
        <w:t>(</w:t>
      </w:r>
      <w:r w:rsidR="00852BF9">
        <w:rPr>
          <w:noProof/>
          <w:lang w:val="en-GB"/>
        </w:rPr>
        <w:t>2013</w:t>
      </w:r>
      <w:r w:rsidR="00852BF9" w:rsidRPr="00F7606D">
        <w:rPr>
          <w:noProof/>
          <w:lang w:val="en-GB"/>
        </w:rPr>
        <w:t>)</w:t>
      </w:r>
      <w:r w:rsidR="00204467" w:rsidRPr="00F7606D">
        <w:rPr>
          <w:lang w:val="en-GB"/>
        </w:rPr>
        <w:fldChar w:fldCharType="end"/>
      </w:r>
    </w:p>
    <w:tbl>
      <w:tblPr>
        <w:tblStyle w:val="afff"/>
        <w:tblW w:w="9351" w:type="dxa"/>
        <w:tblLook w:val="04A0"/>
      </w:tblPr>
      <w:tblGrid>
        <w:gridCol w:w="2687"/>
        <w:gridCol w:w="1559"/>
        <w:gridCol w:w="5105"/>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Not reported</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NewCenturySchlbk-Roman"/>
                <w:szCs w:val="22"/>
                <w:lang w:val="en-GB" w:eastAsia="en-US"/>
              </w:rPr>
            </w:pPr>
            <w:r w:rsidRPr="00F7606D">
              <w:rPr>
                <w:rFonts w:eastAsiaTheme="minorHAnsi" w:cs="NewCenturySchlbk-Roman"/>
                <w:szCs w:val="22"/>
                <w:lang w:val="en-GB" w:eastAsia="en-US"/>
              </w:rPr>
              <w:t>Randomized, double-blind, dose-comparison study. 38 centers in Europe</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Eligibility criteria</w:t>
            </w:r>
            <w:r w:rsidRPr="00F7606D">
              <w:rPr>
                <w:rFonts w:ascii="Georgia" w:hAnsi="Georgia"/>
                <w:i/>
                <w:sz w:val="22"/>
                <w:szCs w:val="22"/>
                <w:u w:val="single"/>
                <w:lang w:val="en-GB"/>
              </w:rPr>
              <w:t>:</w:t>
            </w:r>
            <w:r w:rsidRPr="00F7606D">
              <w:rPr>
                <w:rFonts w:ascii="Georgia" w:hAnsi="Georgia"/>
                <w:sz w:val="22"/>
                <w:szCs w:val="22"/>
                <w:lang w:val="en-GB"/>
              </w:rPr>
              <w:t xml:space="preserve"> Age = 18 years to 55 years, with a relapsing form of MS (Poser et al.), EDSS = 2.0 to 5.5; had a clinical diagnosis of definite MS; with ≥ 2 relapses within 3 years before randomization.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Key exclusion criteria</w:t>
            </w:r>
            <w:r w:rsidRPr="00F7606D">
              <w:rPr>
                <w:szCs w:val="22"/>
                <w:u w:val="single"/>
                <w:lang w:val="en-GB"/>
              </w:rPr>
              <w:t>:</w:t>
            </w:r>
            <w:r w:rsidRPr="00F7606D">
              <w:rPr>
                <w:szCs w:val="22"/>
                <w:lang w:val="en-GB"/>
              </w:rPr>
              <w:t xml:space="preserve"> Progressive forms of MS (defined as a continuous deterioration in neurologic function during the previous 6 months, without superimposed relapses during the previous 1 year); had a relapse within 2 months before randomization; pregnant or breastfeeding; with history of uncontrolled seizure, suicidal ideation, or severe depression; received treatment with IFN beta products within 3 months of randomization; investigational products for MS treatment or non-MS indications; chronic immunosuppressant therapy or chronic steroid therapy.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P641C"/>
                <w:i/>
                <w:szCs w:val="22"/>
                <w:u w:val="single"/>
                <w:lang w:val="en-GB" w:eastAsia="en-US"/>
              </w:rPr>
              <w:t>Baseline characteristics:</w:t>
            </w:r>
            <w:r w:rsidRPr="00F7606D">
              <w:rPr>
                <w:rFonts w:eastAsiaTheme="minorHAnsi" w:cs="AdvP641C"/>
                <w:szCs w:val="22"/>
                <w:lang w:val="en-GB" w:eastAsia="en-US"/>
              </w:rPr>
              <w:t xml:space="preserve"> Age; 37+/-8; 68% female; EDSS: 3.6+/- 1.0;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rFonts w:eastAsiaTheme="minorHAnsi" w:cs="NewCenturySchlbk-Roman"/>
                <w:szCs w:val="22"/>
                <w:lang w:val="en-GB" w:eastAsia="en-US"/>
              </w:rPr>
            </w:pPr>
            <w:r w:rsidRPr="00F7606D">
              <w:rPr>
                <w:rFonts w:eastAsiaTheme="minorHAnsi" w:cs="NewCenturySchlbk-Roman"/>
                <w:szCs w:val="22"/>
                <w:lang w:val="en-GB" w:eastAsia="en-US"/>
              </w:rPr>
              <w:t xml:space="preserve">Interferon beta-1a 30 </w:t>
            </w:r>
            <w:r w:rsidRPr="00F7606D">
              <w:rPr>
                <w:rFonts w:eastAsiaTheme="minorHAnsi" w:cs="Universal-GreekwithMathPi"/>
                <w:szCs w:val="22"/>
                <w:lang w:val="en-GB" w:eastAsia="en-US"/>
              </w:rPr>
              <w:t>mc</w:t>
            </w:r>
            <w:r w:rsidRPr="00F7606D">
              <w:rPr>
                <w:rFonts w:eastAsiaTheme="minorHAnsi" w:cs="NewCenturySchlbk-Roman"/>
                <w:szCs w:val="22"/>
                <w:lang w:val="en-GB" w:eastAsia="en-US"/>
              </w:rPr>
              <w:t>g IM once weekly (n=402)</w:t>
            </w:r>
          </w:p>
          <w:p w:rsidR="00EA7D99" w:rsidRPr="00F7606D" w:rsidRDefault="00EA7D99" w:rsidP="00EA7D99">
            <w:pPr>
              <w:tabs>
                <w:tab w:val="clear" w:pos="510"/>
              </w:tabs>
              <w:autoSpaceDE w:val="0"/>
              <w:autoSpaceDN w:val="0"/>
              <w:adjustRightInd w:val="0"/>
              <w:spacing w:line="240" w:lineRule="auto"/>
              <w:contextualSpacing/>
              <w:rPr>
                <w:rFonts w:eastAsia="ScalaLancetPro" w:cs="ScalaLancetPro"/>
                <w:szCs w:val="22"/>
                <w:lang w:val="en-GB" w:eastAsia="en-US"/>
              </w:rPr>
            </w:pPr>
            <w:r w:rsidRPr="00F7606D">
              <w:rPr>
                <w:rFonts w:eastAsiaTheme="minorHAnsi" w:cs="NewCenturySchlbk-Roman"/>
                <w:szCs w:val="22"/>
                <w:lang w:val="en-GB" w:eastAsia="en-US"/>
              </w:rPr>
              <w:t xml:space="preserve">Interferon beta-1a 60 </w:t>
            </w:r>
            <w:r w:rsidRPr="00F7606D">
              <w:rPr>
                <w:rFonts w:eastAsiaTheme="minorHAnsi" w:cs="Universal-GreekwithMathPi"/>
                <w:szCs w:val="22"/>
                <w:lang w:val="en-GB" w:eastAsia="en-US"/>
              </w:rPr>
              <w:t>mc</w:t>
            </w:r>
            <w:r w:rsidRPr="00F7606D">
              <w:rPr>
                <w:rFonts w:eastAsiaTheme="minorHAnsi" w:cs="NewCenturySchlbk-Roman"/>
                <w:szCs w:val="22"/>
                <w:lang w:val="en-GB" w:eastAsia="en-US"/>
              </w:rPr>
              <w:t>g IM once weekly N=(400)</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P641C"/>
                <w:szCs w:val="22"/>
                <w:lang w:val="en-GB" w:eastAsia="en-US"/>
              </w:rPr>
              <w:t xml:space="preserve">The two doses of </w:t>
            </w:r>
            <w:r w:rsidRPr="00F7606D">
              <w:rPr>
                <w:rFonts w:eastAsiaTheme="minorHAnsi" w:cs="NewCenturySchlbk-Roman"/>
                <w:szCs w:val="22"/>
                <w:lang w:val="en-GB" w:eastAsia="en-US"/>
              </w:rPr>
              <w:t>Interferon beta-1a are compared one with another</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w:t>
            </w:r>
            <w:r w:rsidRPr="00F7606D">
              <w:rPr>
                <w:rFonts w:ascii="Georgia" w:hAnsi="Georgia"/>
                <w:sz w:val="22"/>
                <w:szCs w:val="22"/>
                <w:u w:val="single"/>
                <w:lang w:val="en-GB"/>
              </w:rPr>
              <w:t>:</w:t>
            </w:r>
            <w:r w:rsidRPr="00F7606D">
              <w:rPr>
                <w:rFonts w:ascii="Georgia" w:hAnsi="Georgia"/>
                <w:sz w:val="22"/>
                <w:szCs w:val="22"/>
                <w:lang w:val="en-GB"/>
              </w:rPr>
              <w:t xml:space="preserve"> Disability progression.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Secondary endpoint</w:t>
            </w:r>
            <w:r w:rsidRPr="00F7606D">
              <w:rPr>
                <w:szCs w:val="22"/>
                <w:u w:val="single"/>
                <w:lang w:val="en-GB"/>
              </w:rPr>
              <w:t>:</w:t>
            </w:r>
            <w:r w:rsidRPr="00F7606D">
              <w:rPr>
                <w:szCs w:val="22"/>
                <w:lang w:val="en-GB"/>
              </w:rPr>
              <w:t xml:space="preserve"> Relapse rate, annualized IV steroid use, percent of patients with relapse-free, different MRI outcomes.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 xml:space="preserve">Definitions </w:t>
            </w:r>
            <w:r w:rsidRPr="00F7606D">
              <w:rPr>
                <w:szCs w:val="22"/>
                <w:u w:val="single"/>
                <w:lang w:val="en-GB"/>
              </w:rPr>
              <w:t>used for endpoints:</w:t>
            </w:r>
            <w:r w:rsidRPr="00F7606D">
              <w:rPr>
                <w:szCs w:val="22"/>
                <w:lang w:val="en-GB"/>
              </w:rPr>
              <w:t xml:space="preserve">  </w:t>
            </w:r>
            <w:r w:rsidRPr="00F7606D">
              <w:rPr>
                <w:i/>
                <w:iCs/>
                <w:szCs w:val="22"/>
                <w:u w:val="single"/>
                <w:lang w:val="en-GB"/>
              </w:rPr>
              <w:t>Relapses</w:t>
            </w:r>
            <w:r w:rsidRPr="00F7606D">
              <w:rPr>
                <w:szCs w:val="22"/>
                <w:u w:val="single"/>
                <w:lang w:val="en-GB"/>
              </w:rPr>
              <w:t>:</w:t>
            </w:r>
            <w:r w:rsidRPr="00F7606D">
              <w:rPr>
                <w:szCs w:val="22"/>
                <w:lang w:val="en-GB"/>
              </w:rPr>
              <w:t xml:space="preserve"> Not reported.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i/>
                <w:iCs/>
                <w:szCs w:val="22"/>
                <w:u w:val="single"/>
                <w:lang w:val="en-GB"/>
              </w:rPr>
              <w:t>Disability progression</w:t>
            </w:r>
            <w:r w:rsidRPr="00F7606D">
              <w:rPr>
                <w:szCs w:val="22"/>
                <w:u w:val="single"/>
                <w:lang w:val="en-GB"/>
              </w:rPr>
              <w:t>:</w:t>
            </w:r>
            <w:r w:rsidRPr="00F7606D">
              <w:rPr>
                <w:szCs w:val="22"/>
                <w:lang w:val="en-GB"/>
              </w:rPr>
              <w:t xml:space="preserve"> Time to a sustained increase of ≥ 1.0 point on the EDSS persisting for 6 months for subjects with baseline EDSS scores ≤ 4.5, or a 0.5 point increase for subjects with a baseline EDSS score ≥ 5.0.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At least 3 years</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Unclear (inadequate information to characterise)</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b/>
                <w:szCs w:val="22"/>
                <w:lang w:val="en-GB"/>
              </w:rPr>
            </w:pPr>
            <w:r w:rsidRPr="00F7606D">
              <w:rPr>
                <w:b/>
                <w:bCs/>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Randomization</w:t>
            </w:r>
          </w:p>
        </w:tc>
        <w:tc>
          <w:tcPr>
            <w:tcW w:w="5105" w:type="dxa"/>
            <w:tcBorders>
              <w:top w:val="single" w:sz="4" w:space="0" w:color="auto"/>
              <w:left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Insufficient reporting</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Allocation concealment</w:t>
            </w:r>
          </w:p>
        </w:tc>
        <w:tc>
          <w:tcPr>
            <w:tcW w:w="5105" w:type="dxa"/>
            <w:tcBorders>
              <w:left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Insufficient reporting</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Double-blinding</w:t>
            </w:r>
          </w:p>
        </w:tc>
        <w:tc>
          <w:tcPr>
            <w:tcW w:w="5105" w:type="dxa"/>
            <w:tcBorders>
              <w:left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Baseline characteristic similarity</w:t>
            </w:r>
          </w:p>
        </w:tc>
        <w:tc>
          <w:tcPr>
            <w:tcW w:w="5105" w:type="dxa"/>
            <w:tcBorders>
              <w:left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Outcome measures</w:t>
            </w:r>
          </w:p>
        </w:tc>
        <w:tc>
          <w:tcPr>
            <w:tcW w:w="5105" w:type="dxa"/>
            <w:tcBorders>
              <w:left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bCs/>
                <w:szCs w:val="22"/>
                <w:lang w:val="en-GB"/>
              </w:rPr>
            </w:pPr>
            <w:r w:rsidRPr="00F7606D">
              <w:rPr>
                <w:b/>
                <w:bCs/>
                <w:szCs w:val="22"/>
                <w:lang w:val="en-GB"/>
              </w:rPr>
              <w:t>Withdrawals</w:t>
            </w:r>
          </w:p>
        </w:tc>
        <w:tc>
          <w:tcPr>
            <w:tcW w:w="5105" w:type="dxa"/>
            <w:tcBorders>
              <w:left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30%</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ITT Analysis</w:t>
            </w:r>
          </w:p>
        </w:tc>
        <w:tc>
          <w:tcPr>
            <w:tcW w:w="5105" w:type="dxa"/>
            <w:tcBorders>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bCs/>
                <w:szCs w:val="22"/>
                <w:lang w:val="en-GB"/>
              </w:rPr>
              <w:t>Funding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Manufacturer</w:t>
            </w:r>
          </w:p>
        </w:tc>
      </w:tr>
    </w:tbl>
    <w:p w:rsidR="00EA7D99" w:rsidRPr="00F7606D" w:rsidRDefault="00EA7D99" w:rsidP="00EA7D99">
      <w:pPr>
        <w:spacing w:line="240" w:lineRule="auto"/>
        <w:contextualSpacing/>
        <w:jc w:val="both"/>
      </w:pPr>
    </w:p>
    <w:p w:rsidR="00EA7D99" w:rsidRPr="00F7606D" w:rsidRDefault="00EA7D99" w:rsidP="00EA7D99">
      <w:pPr>
        <w:spacing w:after="160" w:line="240" w:lineRule="auto"/>
        <w:contextualSpacing/>
      </w:pPr>
    </w:p>
    <w:p w:rsidR="00EA7D99" w:rsidRPr="00F7606D" w:rsidRDefault="00EA7D99" w:rsidP="00746324">
      <w:pPr>
        <w:pStyle w:val="41"/>
        <w:numPr>
          <w:ilvl w:val="0"/>
          <w:numId w:val="0"/>
        </w:numPr>
        <w:spacing w:line="240" w:lineRule="auto"/>
        <w:contextualSpacing/>
        <w:rPr>
          <w:b w:val="0"/>
          <w:szCs w:val="22"/>
          <w:lang w:val="en-GB"/>
        </w:rPr>
      </w:pPr>
      <w:r w:rsidRPr="00F7606D">
        <w:rPr>
          <w:szCs w:val="22"/>
          <w:lang w:val="en-GB"/>
        </w:rPr>
        <w:t xml:space="preserve">Kappos et al., </w:t>
      </w:r>
      <w:r w:rsidR="00852BF9">
        <w:rPr>
          <w:szCs w:val="22"/>
          <w:lang w:val="en-GB"/>
        </w:rPr>
        <w:t>(</w:t>
      </w:r>
      <w:r w:rsidRPr="00F7606D">
        <w:rPr>
          <w:szCs w:val="22"/>
          <w:lang w:val="en-GB"/>
        </w:rPr>
        <w:t>2011</w:t>
      </w:r>
      <w:r w:rsidR="00852BF9">
        <w:rPr>
          <w:szCs w:val="22"/>
          <w:lang w:val="en-GB"/>
        </w:rPr>
        <w:t>)</w:t>
      </w:r>
      <w:r w:rsidRPr="00F7606D">
        <w:rPr>
          <w:szCs w:val="22"/>
          <w:lang w:val="en-GB"/>
        </w:rPr>
        <w:t xml:space="preserve">, included in </w:t>
      </w:r>
      <w:r w:rsidR="00663354">
        <w:rPr>
          <w:szCs w:val="22"/>
          <w:lang w:val="en-GB"/>
        </w:rPr>
        <w:t>Tran</w:t>
      </w:r>
      <w:r w:rsidRPr="00F7606D">
        <w:rPr>
          <w:szCs w:val="22"/>
          <w:lang w:val="en-GB"/>
        </w:rPr>
        <w:t xml:space="preserve"> et al. </w:t>
      </w:r>
      <w:r w:rsidR="00204467" w:rsidRPr="00F7606D">
        <w:rPr>
          <w:lang w:val="en-GB"/>
        </w:rPr>
        <w:fldChar w:fldCharType="begin"/>
      </w:r>
      <w:r w:rsidR="00852BF9"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00852BF9" w:rsidRPr="00F7606D">
        <w:rPr>
          <w:noProof/>
          <w:lang w:val="en-GB"/>
        </w:rPr>
        <w:t>(</w:t>
      </w:r>
      <w:r w:rsidR="00852BF9">
        <w:rPr>
          <w:noProof/>
          <w:lang w:val="en-GB"/>
        </w:rPr>
        <w:t>2013</w:t>
      </w:r>
      <w:r w:rsidR="00852BF9" w:rsidRPr="00F7606D">
        <w:rPr>
          <w:noProof/>
          <w:lang w:val="en-GB"/>
        </w:rPr>
        <w:t>)</w:t>
      </w:r>
      <w:r w:rsidR="00204467" w:rsidRPr="00F7606D">
        <w:rPr>
          <w:lang w:val="en-GB"/>
        </w:rPr>
        <w:fldChar w:fldCharType="end"/>
      </w:r>
    </w:p>
    <w:tbl>
      <w:tblPr>
        <w:tblStyle w:val="afff"/>
        <w:tblW w:w="9351" w:type="dxa"/>
        <w:tblLook w:val="04A0"/>
      </w:tblPr>
      <w:tblGrid>
        <w:gridCol w:w="2687"/>
        <w:gridCol w:w="1559"/>
        <w:gridCol w:w="5105"/>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ScalaLancetPro-Bold" w:cs="ScalaLancetPro-Bold"/>
                <w:bCs/>
                <w:szCs w:val="22"/>
                <w:lang w:val="en-GB" w:eastAsia="en-US"/>
              </w:rPr>
              <w:t>NCT00676715</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ScalaLancetPro-Bold" w:cs="ScalaLancetPro-Bold"/>
                <w:bCs/>
                <w:szCs w:val="22"/>
                <w:lang w:val="en-GB" w:eastAsia="en-US"/>
              </w:rPr>
            </w:pPr>
            <w:r w:rsidRPr="00F7606D">
              <w:rPr>
                <w:rFonts w:eastAsia="ScalaLancetPro-Bold" w:cs="ScalaLancetPro-Bold"/>
                <w:bCs/>
                <w:szCs w:val="22"/>
                <w:lang w:val="en-GB" w:eastAsia="en-US"/>
              </w:rPr>
              <w:t xml:space="preserve">Randomised controlled study. 79 centres in 20 countries in </w:t>
            </w:r>
            <w:r w:rsidRPr="00F7606D">
              <w:rPr>
                <w:rFonts w:eastAsia="ScalaLancetPro" w:cs="ScalaLancetPro"/>
                <w:szCs w:val="22"/>
                <w:lang w:val="en-GB" w:eastAsia="en-US"/>
              </w:rPr>
              <w:t>North America, east-central Europe, Asia, western Europe, and Latin America.</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Eligibility criteria</w:t>
            </w:r>
            <w:r w:rsidRPr="00F7606D">
              <w:rPr>
                <w:rFonts w:ascii="Georgia" w:hAnsi="Georgia"/>
                <w:sz w:val="22"/>
                <w:szCs w:val="22"/>
                <w:u w:val="single"/>
                <w:lang w:val="en-GB"/>
              </w:rPr>
              <w:t>:</w:t>
            </w:r>
            <w:r w:rsidRPr="00F7606D">
              <w:rPr>
                <w:rFonts w:ascii="Georgia" w:hAnsi="Georgia"/>
                <w:sz w:val="22"/>
                <w:szCs w:val="22"/>
                <w:lang w:val="en-GB"/>
              </w:rPr>
              <w:t xml:space="preserve"> Age = 18 years to 55 years, diagnosis of RRMS, EDSS = 1-6.0; had ≥ 2 relapses in previous 3 years.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i/>
                <w:iCs/>
                <w:szCs w:val="22"/>
                <w:u w:val="single"/>
                <w:lang w:val="en-GB"/>
              </w:rPr>
              <w:t>Key exclusion criteria</w:t>
            </w:r>
            <w:r w:rsidRPr="00F7606D">
              <w:rPr>
                <w:szCs w:val="22"/>
                <w:u w:val="single"/>
                <w:lang w:val="en-GB"/>
              </w:rPr>
              <w:t>:</w:t>
            </w:r>
            <w:r w:rsidRPr="00F7606D">
              <w:rPr>
                <w:szCs w:val="22"/>
                <w:lang w:val="en-GB"/>
              </w:rPr>
              <w:t xml:space="preserve"> SPMS or PPMS, disease duration more than 15 years in patients with EDSS of 2 or less; history or presence of other neurological systemic autoimmune disorders; treatment with rituximab or lymphocyte-depleting therapies; use of lymphocyte trafficking disorders within previous 24 weeks; use of beta interferons, glatiramer acetate, intravenous immunoglobulin, plasmapheresis, and immunosuppressive treatments within previous 12 weeks, use of systemic glucocorticoids within previous 4 weeks; or intolerance to IFN beta-1a.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AGaramond-R"/>
                <w:color w:val="231F20"/>
                <w:szCs w:val="22"/>
                <w:u w:val="single"/>
                <w:lang w:val="en-GB" w:eastAsia="en-US"/>
              </w:rPr>
              <w:t>Baseline characteristics in placebo group</w:t>
            </w:r>
            <w:r w:rsidRPr="00F7606D">
              <w:rPr>
                <w:rFonts w:eastAsiaTheme="minorHAnsi" w:cs="AdvAGaramond-R"/>
                <w:color w:val="231F20"/>
                <w:szCs w:val="22"/>
                <w:lang w:val="en-GB" w:eastAsia="en-US"/>
              </w:rPr>
              <w:t>: Age in years: 38 +/9, 65% female, mean EDSS score (-/+ SD): 3.2 +/- 1.4</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Shaker2Lancet-Regular" w:cs="Shaker2Lancet-Regular"/>
                <w:szCs w:val="22"/>
                <w:lang w:val="en-GB" w:eastAsia="en-US"/>
              </w:rPr>
            </w:pPr>
            <w:r w:rsidRPr="00F7606D">
              <w:rPr>
                <w:rFonts w:eastAsia="Shaker2Lancet-Regular" w:cs="Shaker2Lancet-Regular"/>
                <w:szCs w:val="22"/>
                <w:lang w:val="en-GB" w:eastAsia="en-US"/>
              </w:rPr>
              <w:t>Ocrelizumab 600 mg IV day 1 and 15 (n=55, not our scope)</w:t>
            </w:r>
          </w:p>
          <w:p w:rsidR="00EA7D99" w:rsidRPr="00F7606D" w:rsidRDefault="00EA7D99" w:rsidP="00EA7D99">
            <w:pPr>
              <w:tabs>
                <w:tab w:val="clear" w:pos="510"/>
              </w:tabs>
              <w:autoSpaceDE w:val="0"/>
              <w:autoSpaceDN w:val="0"/>
              <w:adjustRightInd w:val="0"/>
              <w:spacing w:line="240" w:lineRule="auto"/>
              <w:contextualSpacing/>
              <w:jc w:val="both"/>
              <w:rPr>
                <w:rFonts w:eastAsia="Shaker2Lancet-Regular" w:cs="Shaker2Lancet-Regular"/>
                <w:szCs w:val="22"/>
                <w:lang w:val="en-GB" w:eastAsia="en-US"/>
              </w:rPr>
            </w:pPr>
            <w:r w:rsidRPr="00F7606D">
              <w:rPr>
                <w:rFonts w:eastAsia="Shaker2Lancet-Regular" w:cs="Shaker2Lancet-Regular"/>
                <w:szCs w:val="22"/>
                <w:lang w:val="en-GB" w:eastAsia="en-US"/>
              </w:rPr>
              <w:t>Ocrelizumab 600 mg IV day 1 and 15 (n=55, not our scope)</w:t>
            </w:r>
          </w:p>
          <w:p w:rsidR="00EA7D99" w:rsidRPr="00B4105F" w:rsidRDefault="00EA7D99" w:rsidP="00EA7D99">
            <w:pPr>
              <w:tabs>
                <w:tab w:val="clear" w:pos="510"/>
              </w:tabs>
              <w:autoSpaceDE w:val="0"/>
              <w:autoSpaceDN w:val="0"/>
              <w:adjustRightInd w:val="0"/>
              <w:spacing w:line="240" w:lineRule="auto"/>
              <w:contextualSpacing/>
              <w:jc w:val="both"/>
              <w:rPr>
                <w:rFonts w:eastAsia="Shaker2Lancet-Regular" w:cs="Shaker2Lancet-Regular"/>
                <w:szCs w:val="22"/>
                <w:lang w:val="pt-PT" w:eastAsia="en-US"/>
              </w:rPr>
            </w:pPr>
            <w:r w:rsidRPr="00B4105F">
              <w:rPr>
                <w:rFonts w:eastAsia="Shaker2Lancet-Regular" w:cs="Shaker2Lancet-Regular"/>
                <w:szCs w:val="22"/>
                <w:lang w:val="pt-PT" w:eastAsia="en-US"/>
              </w:rPr>
              <w:t>Interferon beta-1a 30 mcg IM q.d. (n=55)</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 xml:space="preserve">Placebo </w:t>
            </w:r>
            <w:r w:rsidRPr="00F7606D">
              <w:rPr>
                <w:rFonts w:ascii="Georgia" w:eastAsia="Shaker2Lancet-Regular" w:hAnsi="Georgia" w:cs="Shaker2Lancet-Regular"/>
                <w:sz w:val="22"/>
                <w:szCs w:val="22"/>
                <w:lang w:val="en-GB"/>
              </w:rPr>
              <w:t>(n=54)</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w:t>
            </w:r>
            <w:r w:rsidRPr="00F7606D">
              <w:rPr>
                <w:rFonts w:ascii="Georgia" w:hAnsi="Georgia"/>
                <w:sz w:val="22"/>
                <w:szCs w:val="22"/>
                <w:u w:val="single"/>
                <w:lang w:val="en-GB"/>
              </w:rPr>
              <w:t>:</w:t>
            </w:r>
            <w:r w:rsidRPr="00F7606D">
              <w:rPr>
                <w:rFonts w:ascii="Georgia" w:hAnsi="Georgia"/>
                <w:sz w:val="22"/>
                <w:szCs w:val="22"/>
                <w:lang w:val="en-GB"/>
              </w:rPr>
              <w:t xml:space="preserve"> MRI outcomes.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Secondary endpoints</w:t>
            </w:r>
            <w:r w:rsidRPr="00F7606D">
              <w:rPr>
                <w:szCs w:val="22"/>
                <w:u w:val="single"/>
                <w:lang w:val="en-GB"/>
              </w:rPr>
              <w:t>:</w:t>
            </w:r>
            <w:r w:rsidRPr="00F7606D">
              <w:rPr>
                <w:szCs w:val="22"/>
                <w:lang w:val="en-GB"/>
              </w:rPr>
              <w:t xml:space="preserve"> Annualized relapse rate, proportion of relapse-free patients.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szCs w:val="22"/>
                <w:u w:val="single"/>
                <w:lang w:val="en-GB"/>
              </w:rPr>
              <w:t>Definitions used for endpoints:</w:t>
            </w:r>
            <w:r w:rsidRPr="00F7606D">
              <w:rPr>
                <w:szCs w:val="22"/>
                <w:lang w:val="en-GB"/>
              </w:rPr>
              <w:t xml:space="preserve"> </w:t>
            </w:r>
            <w:r w:rsidRPr="00F7606D">
              <w:rPr>
                <w:i/>
                <w:iCs/>
                <w:szCs w:val="22"/>
                <w:u w:val="single"/>
                <w:lang w:val="en-GB"/>
              </w:rPr>
              <w:t>Relapses</w:t>
            </w:r>
            <w:r w:rsidRPr="00F7606D">
              <w:rPr>
                <w:szCs w:val="22"/>
                <w:u w:val="single"/>
                <w:lang w:val="en-GB"/>
              </w:rPr>
              <w:t>:</w:t>
            </w:r>
            <w:r w:rsidRPr="00F7606D">
              <w:rPr>
                <w:szCs w:val="22"/>
                <w:lang w:val="en-GB"/>
              </w:rPr>
              <w:t xml:space="preserve"> The occurrence of new or worsening neurological symptoms attributable to MS, and immediately preceded by a stable or improving neurological state of at least 30 days.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Disability progression</w:t>
            </w:r>
            <w:r w:rsidRPr="00F7606D">
              <w:rPr>
                <w:szCs w:val="22"/>
                <w:u w:val="single"/>
                <w:lang w:val="en-GB"/>
              </w:rPr>
              <w:t>:</w:t>
            </w:r>
            <w:r w:rsidRPr="00F7606D">
              <w:rPr>
                <w:szCs w:val="22"/>
                <w:lang w:val="en-GB"/>
              </w:rPr>
              <w:t xml:space="preserve"> An increase of 1 point or more from baseline EDSS score confirmed at the next scheduled examination 3 months after initial screening.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24 weeks</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(up to 96 weeks, but after 24 weeks, comparator groups switched to ocrelizumab)</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Mixed (based on reported baseline characteristics)</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Randomization</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szCs w:val="22"/>
                <w:lang w:val="en-GB"/>
              </w:rPr>
            </w:pPr>
            <w:r w:rsidRPr="00F7606D">
              <w:rPr>
                <w:szCs w:val="22"/>
                <w:lang w:val="en-GB"/>
              </w:rPr>
              <w:t>Insufficient reporting</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Allocation concealment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Not reporting</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Double-blinding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szCs w:val="22"/>
                <w:highlight w:val="yellow"/>
                <w:lang w:val="en-GB"/>
              </w:rPr>
            </w:pPr>
            <w:r w:rsidRPr="00F7606D">
              <w:rPr>
                <w:szCs w:val="22"/>
                <w:lang w:val="en-GB"/>
              </w:rPr>
              <w:t>No</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Baseline characteristic similarity</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highlight w:val="yellow"/>
                <w:lang w:val="en-GB"/>
              </w:rPr>
            </w:pPr>
            <w:r w:rsidRPr="00F7606D">
              <w:rPr>
                <w:szCs w:val="22"/>
                <w:lang w:val="en-GB"/>
              </w:rPr>
              <w:t>No</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 measures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Withdrawals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6%</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ITT Analysis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rPr>
          <w:trHeight w:val="232"/>
        </w:trPr>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Funding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Manufacturer</w:t>
            </w:r>
          </w:p>
        </w:tc>
      </w:tr>
    </w:tbl>
    <w:p w:rsidR="00EA7D99" w:rsidRPr="00F7606D" w:rsidRDefault="00EA7D99" w:rsidP="00EA7D99">
      <w:pPr>
        <w:spacing w:after="160" w:line="240" w:lineRule="auto"/>
        <w:contextualSpacing/>
      </w:pPr>
    </w:p>
    <w:p w:rsidR="00EA7D99" w:rsidRPr="00F7606D" w:rsidRDefault="00EA7D99" w:rsidP="00746324">
      <w:pPr>
        <w:pStyle w:val="41"/>
        <w:numPr>
          <w:ilvl w:val="0"/>
          <w:numId w:val="0"/>
        </w:numPr>
        <w:spacing w:line="240" w:lineRule="auto"/>
        <w:contextualSpacing/>
        <w:rPr>
          <w:rFonts w:eastAsiaTheme="minorHAnsi"/>
          <w:lang w:val="en-GB" w:eastAsia="en-US"/>
        </w:rPr>
      </w:pPr>
      <w:r w:rsidRPr="00F7606D">
        <w:rPr>
          <w:rFonts w:eastAsiaTheme="minorHAnsi"/>
          <w:lang w:val="en-GB" w:eastAsia="en-US"/>
        </w:rPr>
        <w:t xml:space="preserve">Mokhber et al., </w:t>
      </w:r>
      <w:r w:rsidR="00852BF9">
        <w:rPr>
          <w:rFonts w:eastAsiaTheme="minorHAnsi"/>
          <w:lang w:val="en-GB" w:eastAsia="en-US"/>
        </w:rPr>
        <w:t>(</w:t>
      </w:r>
      <w:r w:rsidRPr="00F7606D">
        <w:rPr>
          <w:rFonts w:eastAsiaTheme="minorHAnsi"/>
          <w:lang w:val="en-GB" w:eastAsia="en-US"/>
        </w:rPr>
        <w:t>2014</w:t>
      </w:r>
      <w:r w:rsidR="00852BF9">
        <w:rPr>
          <w:rFonts w:eastAsiaTheme="minorHAnsi"/>
          <w:lang w:val="en-GB" w:eastAsia="en-US"/>
        </w:rPr>
        <w:t>)</w:t>
      </w:r>
      <w:r w:rsidRPr="00F7606D">
        <w:rPr>
          <w:rFonts w:eastAsiaTheme="minorHAnsi"/>
          <w:lang w:val="en-GB" w:eastAsia="en-US"/>
        </w:rPr>
        <w:t xml:space="preserve">, not </w:t>
      </w:r>
      <w:r w:rsidRPr="00F7606D">
        <w:rPr>
          <w:lang w:val="en-GB"/>
        </w:rPr>
        <w:t xml:space="preserve">included in </w:t>
      </w:r>
      <w:r w:rsidR="00663354">
        <w:rPr>
          <w:lang w:val="en-GB"/>
        </w:rPr>
        <w:t>Tran</w:t>
      </w:r>
      <w:r w:rsidRPr="00F7606D">
        <w:rPr>
          <w:lang w:val="en-GB"/>
        </w:rPr>
        <w:t xml:space="preserve"> et al. </w:t>
      </w:r>
      <w:r w:rsidR="00204467" w:rsidRPr="00F7606D">
        <w:rPr>
          <w:lang w:val="en-GB"/>
        </w:rPr>
        <w:fldChar w:fldCharType="begin"/>
      </w:r>
      <w:r w:rsidR="00852BF9"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00852BF9" w:rsidRPr="00F7606D">
        <w:rPr>
          <w:noProof/>
          <w:lang w:val="en-GB"/>
        </w:rPr>
        <w:t>(</w:t>
      </w:r>
      <w:r w:rsidR="00852BF9">
        <w:rPr>
          <w:noProof/>
          <w:lang w:val="en-GB"/>
        </w:rPr>
        <w:t>2013</w:t>
      </w:r>
      <w:r w:rsidR="00852BF9" w:rsidRPr="00F7606D">
        <w:rPr>
          <w:noProof/>
          <w:lang w:val="en-GB"/>
        </w:rPr>
        <w:t>)</w:t>
      </w:r>
      <w:r w:rsidR="00204467" w:rsidRPr="00F7606D">
        <w:rPr>
          <w:lang w:val="en-GB"/>
        </w:rPr>
        <w:fldChar w:fldCharType="end"/>
      </w:r>
    </w:p>
    <w:tbl>
      <w:tblPr>
        <w:tblStyle w:val="afff"/>
        <w:tblW w:w="9351" w:type="dxa"/>
        <w:tblLook w:val="04A0"/>
      </w:tblPr>
      <w:tblGrid>
        <w:gridCol w:w="2687"/>
        <w:gridCol w:w="1559"/>
        <w:gridCol w:w="5105"/>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cs="AdvTT5235d5a9"/>
                <w:szCs w:val="22"/>
                <w:lang w:val="en-GB" w:eastAsia="en-US"/>
              </w:rPr>
              <w:t>Protocol number: 84393-1</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cs="AdvTT5235d5a9"/>
                <w:szCs w:val="22"/>
                <w:lang w:val="en-GB" w:eastAsia="en-US"/>
              </w:rPr>
              <w:t xml:space="preserve">Double blind randomized trial, </w:t>
            </w:r>
            <w:r w:rsidRPr="00F7606D">
              <w:rPr>
                <w:rFonts w:eastAsiaTheme="minorHAnsi"/>
                <w:szCs w:val="22"/>
                <w:lang w:val="en-GB" w:eastAsia="en-US"/>
              </w:rPr>
              <w:t>single center in Iran</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TT5235d5a9"/>
                <w:szCs w:val="22"/>
                <w:lang w:val="en-GB" w:eastAsia="en-US"/>
              </w:rPr>
            </w:pPr>
            <w:r w:rsidRPr="00F7606D">
              <w:rPr>
                <w:rFonts w:eastAsiaTheme="minorHAnsi" w:cs="AdvTT5235d5a9"/>
                <w:i/>
                <w:szCs w:val="22"/>
                <w:u w:val="single"/>
                <w:lang w:val="en-GB" w:eastAsia="en-US"/>
              </w:rPr>
              <w:t>Eligibility criteria:</w:t>
            </w:r>
            <w:r w:rsidRPr="00F7606D">
              <w:rPr>
                <w:rFonts w:eastAsiaTheme="minorHAnsi" w:cs="AdvTT5235d5a9"/>
                <w:szCs w:val="22"/>
                <w:lang w:val="en-GB" w:eastAsia="en-US"/>
              </w:rPr>
              <w:t xml:space="preserve"> Eligible participants were all new cases of de</w:t>
            </w:r>
            <w:r w:rsidRPr="00F7606D">
              <w:rPr>
                <w:rFonts w:eastAsiaTheme="minorHAnsi" w:cs="AdvTT5235d5a9+fb"/>
                <w:szCs w:val="22"/>
                <w:lang w:val="en-GB" w:eastAsia="en-US"/>
              </w:rPr>
              <w:t>fi</w:t>
            </w:r>
            <w:r w:rsidRPr="00F7606D">
              <w:rPr>
                <w:rFonts w:eastAsiaTheme="minorHAnsi" w:cs="AdvTT5235d5a9"/>
                <w:szCs w:val="22"/>
                <w:lang w:val="en-GB" w:eastAsia="en-US"/>
              </w:rPr>
              <w:t xml:space="preserve">nite MS according to the revised McDonald criteria, which include magnetic resonance imaging, detailed neurological history and examination, and paraclinical laboratory tests of cerebrospinal </w:t>
            </w:r>
            <w:r w:rsidRPr="00F7606D">
              <w:rPr>
                <w:rFonts w:eastAsiaTheme="minorHAnsi" w:cs="AdvTT5235d5a9+fb"/>
                <w:szCs w:val="22"/>
                <w:lang w:val="en-GB" w:eastAsia="en-US"/>
              </w:rPr>
              <w:t>fl</w:t>
            </w:r>
            <w:r w:rsidRPr="00F7606D">
              <w:rPr>
                <w:rFonts w:eastAsiaTheme="minorHAnsi" w:cs="AdvTT5235d5a9"/>
                <w:szCs w:val="22"/>
                <w:lang w:val="en-GB" w:eastAsia="en-US"/>
              </w:rPr>
              <w:t xml:space="preserve">uid </w:t>
            </w:r>
            <w:r w:rsidRPr="00F7606D">
              <w:rPr>
                <w:rFonts w:eastAsiaTheme="minorHAnsi" w:cs="AdvTT5235d5a9+fb"/>
                <w:szCs w:val="22"/>
                <w:lang w:val="en-GB" w:eastAsia="en-US"/>
              </w:rPr>
              <w:t>fi</w:t>
            </w:r>
            <w:r w:rsidRPr="00F7606D">
              <w:rPr>
                <w:rFonts w:eastAsiaTheme="minorHAnsi" w:cs="AdvTT5235d5a9"/>
                <w:szCs w:val="22"/>
                <w:lang w:val="en-GB" w:eastAsia="en-US"/>
              </w:rPr>
              <w:t>ndings and visual-evoked potential</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TT5235d5a9"/>
                <w:szCs w:val="22"/>
                <w:lang w:val="en-GB" w:eastAsia="en-US"/>
              </w:rPr>
            </w:pPr>
            <w:r w:rsidRPr="00F7606D">
              <w:rPr>
                <w:rFonts w:eastAsiaTheme="minorHAnsi" w:cs="AdvTT5235d5a9"/>
                <w:i/>
                <w:szCs w:val="22"/>
                <w:u w:val="single"/>
                <w:lang w:val="en-GB" w:eastAsia="en-US"/>
              </w:rPr>
              <w:t>Key exclusion criteria:</w:t>
            </w:r>
            <w:r w:rsidRPr="00F7606D">
              <w:rPr>
                <w:rFonts w:eastAsiaTheme="minorHAnsi" w:cs="AdvTT5235d5a9"/>
                <w:szCs w:val="22"/>
                <w:lang w:val="en-GB" w:eastAsia="en-US"/>
              </w:rPr>
              <w:t xml:space="preserve"> Patients were excluded if they had a history of substance abuse or prior treatment with any type of DMTs</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TT5235d5a9"/>
                <w:szCs w:val="22"/>
                <w:lang w:val="en-GB" w:eastAsia="en-US"/>
              </w:rPr>
            </w:pPr>
            <w:r w:rsidRPr="00F7606D">
              <w:rPr>
                <w:rFonts w:eastAsiaTheme="minorHAnsi" w:cs="AdvTT5235d5a9"/>
                <w:i/>
                <w:szCs w:val="22"/>
                <w:u w:val="single"/>
                <w:lang w:val="en-GB" w:eastAsia="en-US"/>
              </w:rPr>
              <w:t>Baseline characteristics</w:t>
            </w:r>
            <w:r w:rsidRPr="00F7606D">
              <w:rPr>
                <w:rFonts w:eastAsiaTheme="minorHAnsi" w:cs="AdvTT5235d5a9"/>
                <w:szCs w:val="22"/>
                <w:u w:val="single"/>
                <w:lang w:val="en-GB" w:eastAsia="en-US"/>
              </w:rPr>
              <w:t>:</w:t>
            </w:r>
            <w:r w:rsidRPr="00F7606D">
              <w:rPr>
                <w:rFonts w:eastAsiaTheme="minorHAnsi" w:cs="AdvTT5235d5a9"/>
                <w:szCs w:val="22"/>
                <w:lang w:val="en-GB" w:eastAsia="en-US"/>
              </w:rPr>
              <w:t xml:space="preserve"> Age 29,+/-8; 65% female; EDSS: mean=2.02</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TT5235d5a9"/>
                <w:color w:val="000000" w:themeColor="text1"/>
                <w:szCs w:val="22"/>
                <w:lang w:val="en-GB" w:eastAsia="en-US"/>
              </w:rPr>
            </w:pPr>
            <w:r w:rsidRPr="00F7606D">
              <w:rPr>
                <w:rFonts w:cs="Arial"/>
                <w:color w:val="000000" w:themeColor="text1"/>
                <w:szCs w:val="22"/>
                <w:shd w:val="clear" w:color="auto" w:fill="FFFFFF"/>
                <w:lang w:val="en-GB"/>
              </w:rPr>
              <w:t xml:space="preserve">Interferon beta-1a </w:t>
            </w:r>
            <w:r w:rsidRPr="00F7606D">
              <w:rPr>
                <w:rFonts w:eastAsiaTheme="minorHAnsi" w:cs="AdvP641C"/>
                <w:color w:val="000000" w:themeColor="text1"/>
                <w:szCs w:val="22"/>
                <w:lang w:val="en-GB" w:eastAsia="en-US"/>
              </w:rPr>
              <w:t>(Avonex )</w:t>
            </w:r>
            <w:r w:rsidRPr="00F7606D">
              <w:rPr>
                <w:rFonts w:cs="Arial"/>
                <w:color w:val="000000" w:themeColor="text1"/>
                <w:szCs w:val="22"/>
                <w:shd w:val="clear" w:color="auto" w:fill="FFFFFF"/>
                <w:lang w:val="en-GB"/>
              </w:rPr>
              <w:t xml:space="preserve"> </w:t>
            </w:r>
            <w:r w:rsidRPr="00F7606D">
              <w:rPr>
                <w:rFonts w:eastAsiaTheme="minorHAnsi" w:cs="AdvTT5235d5a9"/>
                <w:color w:val="000000" w:themeColor="text1"/>
                <w:szCs w:val="22"/>
                <w:lang w:val="en-GB" w:eastAsia="en-US"/>
              </w:rPr>
              <w:t>30 mcg once per week IM injection;</w:t>
            </w:r>
            <w:r w:rsidRPr="00F7606D">
              <w:rPr>
                <w:rFonts w:eastAsiaTheme="minorHAnsi" w:cs="AdvP641C"/>
                <w:color w:val="000000" w:themeColor="text1"/>
                <w:szCs w:val="22"/>
                <w:lang w:val="en-GB" w:eastAsia="en-US"/>
              </w:rPr>
              <w:t xml:space="preserve"> (n=23)</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TT5235d5a9"/>
                <w:color w:val="000000" w:themeColor="text1"/>
                <w:szCs w:val="22"/>
                <w:lang w:val="en-GB" w:eastAsia="en-US"/>
              </w:rPr>
            </w:pPr>
            <w:r w:rsidRPr="00F7606D">
              <w:rPr>
                <w:rFonts w:cs="Arial"/>
                <w:color w:val="000000" w:themeColor="text1"/>
                <w:szCs w:val="22"/>
                <w:shd w:val="clear" w:color="auto" w:fill="FFFFFF"/>
                <w:lang w:val="en-GB"/>
              </w:rPr>
              <w:t xml:space="preserve">Interferon beta-1a </w:t>
            </w:r>
            <w:r w:rsidRPr="00F7606D">
              <w:rPr>
                <w:rFonts w:eastAsiaTheme="minorHAnsi" w:cs="AdvP641C"/>
                <w:color w:val="000000" w:themeColor="text1"/>
                <w:szCs w:val="22"/>
                <w:lang w:val="en-GB" w:eastAsia="en-US"/>
              </w:rPr>
              <w:t xml:space="preserve">(Rebif) </w:t>
            </w:r>
            <w:r w:rsidRPr="00F7606D">
              <w:rPr>
                <w:rFonts w:eastAsiaTheme="minorHAnsi" w:cs="AdvTT5235d5a9"/>
                <w:color w:val="000000" w:themeColor="text1"/>
                <w:szCs w:val="22"/>
                <w:lang w:val="en-GB" w:eastAsia="en-US"/>
              </w:rPr>
              <w:t xml:space="preserve">44 mcg </w:t>
            </w:r>
            <w:r w:rsidRPr="00F7606D">
              <w:rPr>
                <w:color w:val="000000" w:themeColor="text1"/>
                <w:szCs w:val="22"/>
                <w:lang w:val="en-GB"/>
              </w:rPr>
              <w:t>t.i.w.</w:t>
            </w:r>
            <w:r w:rsidRPr="00F7606D">
              <w:rPr>
                <w:rFonts w:eastAsiaTheme="minorHAnsi" w:cs="AdvTT5235d5a9"/>
                <w:color w:val="000000" w:themeColor="text1"/>
                <w:szCs w:val="22"/>
                <w:lang w:val="en-GB" w:eastAsia="en-US"/>
              </w:rPr>
              <w:t xml:space="preserve"> SC injection;</w:t>
            </w:r>
            <w:r w:rsidRPr="00F7606D">
              <w:rPr>
                <w:rFonts w:eastAsiaTheme="minorHAnsi" w:cs="AdvP641C"/>
                <w:color w:val="000000" w:themeColor="text1"/>
                <w:szCs w:val="22"/>
                <w:lang w:val="en-GB" w:eastAsia="en-US"/>
              </w:rPr>
              <w:t xml:space="preserve"> (n=23)</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cs="Arial"/>
                <w:color w:val="000000" w:themeColor="text1"/>
                <w:szCs w:val="22"/>
                <w:shd w:val="clear" w:color="auto" w:fill="FFFFFF"/>
                <w:lang w:val="en-GB"/>
              </w:rPr>
              <w:t xml:space="preserve">Interferon beta-1a (Betaferon) </w:t>
            </w:r>
            <w:r w:rsidRPr="00F7606D">
              <w:rPr>
                <w:rFonts w:eastAsiaTheme="minorHAnsi" w:cs="AdvTT5235d5a9"/>
                <w:szCs w:val="22"/>
                <w:lang w:val="en-GB" w:eastAsia="en-US"/>
              </w:rPr>
              <w:t>0.25 mg every other day SC injection</w:t>
            </w:r>
            <w:r w:rsidRPr="00F7606D">
              <w:rPr>
                <w:rFonts w:eastAsiaTheme="minorHAnsi" w:cs="AdvP641C"/>
                <w:szCs w:val="22"/>
                <w:lang w:val="en-GB" w:eastAsia="en-US"/>
              </w:rPr>
              <w:t xml:space="preserve"> (n=23)</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P641C"/>
                <w:szCs w:val="22"/>
                <w:lang w:val="en-GB" w:eastAsia="en-US"/>
              </w:rPr>
              <w:t>These drugs were compared one with another</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P641C"/>
                <w:i/>
                <w:szCs w:val="22"/>
                <w:u w:val="single"/>
                <w:lang w:val="en-GB" w:eastAsia="en-US"/>
              </w:rPr>
              <w:t>Primary endpoint:</w:t>
            </w:r>
            <w:r w:rsidRPr="00F7606D">
              <w:rPr>
                <w:rFonts w:eastAsiaTheme="minorHAnsi" w:cs="AdvP641C"/>
                <w:szCs w:val="22"/>
                <w:lang w:val="en-GB" w:eastAsia="en-US"/>
              </w:rPr>
              <w:t xml:space="preserve"> Cognition status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P641C"/>
                <w:i/>
                <w:szCs w:val="22"/>
                <w:u w:val="single"/>
                <w:lang w:val="en-GB" w:eastAsia="en-US"/>
              </w:rPr>
              <w:t>Secondary endpoint:</w:t>
            </w:r>
            <w:r w:rsidRPr="00F7606D">
              <w:rPr>
                <w:rFonts w:eastAsiaTheme="minorHAnsi" w:cs="AdvP641C"/>
                <w:szCs w:val="22"/>
                <w:lang w:val="en-GB" w:eastAsia="en-US"/>
              </w:rPr>
              <w:t xml:space="preserve"> EDSS scale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1 year</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autoSpaceDE w:val="0"/>
              <w:autoSpaceDN w:val="0"/>
              <w:adjustRightInd w:val="0"/>
              <w:spacing w:line="240" w:lineRule="auto"/>
              <w:contextualSpacing/>
              <w:jc w:val="both"/>
              <w:rPr>
                <w:rFonts w:cs="TimesNewRomanPSMT"/>
                <w:szCs w:val="22"/>
                <w:lang w:val="en-GB"/>
              </w:rPr>
            </w:pPr>
            <w:r w:rsidRPr="00F7606D">
              <w:rPr>
                <w:rFonts w:cs="TimesNewRomanPSMT"/>
                <w:szCs w:val="22"/>
                <w:lang w:val="en-GB"/>
              </w:rPr>
              <w:t>Treatment-naive</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Risk of Bias</w:t>
            </w:r>
          </w:p>
        </w:tc>
      </w:tr>
      <w:tr w:rsidR="00EA7D99" w:rsidRPr="00685670"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Random sequence generation</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szCs w:val="22"/>
                <w:lang w:val="en-GB"/>
              </w:rPr>
              <w:t>Adequate “</w:t>
            </w:r>
            <w:r w:rsidRPr="00F7606D">
              <w:rPr>
                <w:rFonts w:eastAsiaTheme="minorHAnsi" w:cs="AdvTT5235d5a9"/>
                <w:szCs w:val="22"/>
                <w:lang w:val="en-GB" w:eastAsia="en-US"/>
              </w:rPr>
              <w:t>The study neurologist (MRA) enrolled the participants and allocated the subjects using a computer-generated list of random numbers”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Allocation concealment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685670"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Blinding of participant and personnel</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szCs w:val="22"/>
                <w:lang w:val="en-GB"/>
              </w:rPr>
              <w:t>Assessors: yes</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TT5235d5a9"/>
                <w:szCs w:val="22"/>
                <w:lang w:val="en-GB" w:eastAsia="en-US"/>
              </w:rPr>
            </w:pPr>
            <w:r w:rsidRPr="00F7606D">
              <w:rPr>
                <w:szCs w:val="22"/>
                <w:lang w:val="en-GB"/>
              </w:rPr>
              <w:t>Participants: insufficient reporting</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Blinding of outcome assessment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 xml:space="preserve">Adequate </w:t>
            </w:r>
          </w:p>
        </w:tc>
      </w:tr>
      <w:tr w:rsidR="00EA7D99" w:rsidRPr="00685670"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Incomplete outcome data</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6% lost to follow-up</w:t>
            </w:r>
          </w:p>
          <w:p w:rsidR="00EA7D99" w:rsidRPr="00F7606D" w:rsidRDefault="00EA7D99" w:rsidP="00EA7D99">
            <w:pPr>
              <w:spacing w:line="240" w:lineRule="auto"/>
              <w:contextualSpacing/>
              <w:jc w:val="both"/>
              <w:rPr>
                <w:szCs w:val="22"/>
                <w:lang w:val="en-GB"/>
              </w:rPr>
            </w:pPr>
            <w:r w:rsidRPr="00F7606D">
              <w:rPr>
                <w:szCs w:val="22"/>
                <w:lang w:val="en-GB"/>
              </w:rPr>
              <w:t>Modified analysis based on available data</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Selective reporting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None detected</w:t>
            </w:r>
          </w:p>
        </w:tc>
      </w:tr>
      <w:tr w:rsidR="00EA7D99" w:rsidRPr="00685670"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Other sources of bias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TT5235d5a9"/>
                <w:szCs w:val="22"/>
                <w:lang w:val="en-GB" w:eastAsia="en-US"/>
              </w:rPr>
            </w:pPr>
            <w:r w:rsidRPr="00F7606D">
              <w:rPr>
                <w:szCs w:val="22"/>
                <w:lang w:val="en-GB"/>
              </w:rPr>
              <w:t>No conflict of interest declared. Funding seem to be public “</w:t>
            </w:r>
            <w:r w:rsidRPr="00F7606D">
              <w:rPr>
                <w:rFonts w:eastAsiaTheme="minorHAnsi" w:cs="AdvTT5235d5a9"/>
                <w:szCs w:val="22"/>
                <w:lang w:val="en-GB" w:eastAsia="en-US"/>
              </w:rPr>
              <w:t>The study was supported by the Vice Chancellor of Research at Mashhad University of Medical Sciences in Iran (Grant number:84393)”</w:t>
            </w:r>
          </w:p>
        </w:tc>
      </w:tr>
    </w:tbl>
    <w:p w:rsidR="00EA7D99" w:rsidRPr="00F7606D" w:rsidRDefault="00EA7D99" w:rsidP="00EA7D99">
      <w:pPr>
        <w:spacing w:line="240" w:lineRule="auto"/>
        <w:contextualSpacing/>
        <w:jc w:val="both"/>
      </w:pPr>
    </w:p>
    <w:p w:rsidR="00EA7D99" w:rsidRPr="00F7606D" w:rsidRDefault="00EA7D99" w:rsidP="00EA7D99">
      <w:pPr>
        <w:spacing w:after="160" w:line="240" w:lineRule="auto"/>
        <w:contextualSpacing/>
      </w:pPr>
    </w:p>
    <w:p w:rsidR="00EA7D99" w:rsidRPr="00F7606D" w:rsidRDefault="00EA7D99" w:rsidP="004B4975">
      <w:pPr>
        <w:pStyle w:val="41"/>
        <w:numPr>
          <w:ilvl w:val="0"/>
          <w:numId w:val="0"/>
        </w:numPr>
        <w:spacing w:line="240" w:lineRule="auto"/>
        <w:contextualSpacing/>
        <w:rPr>
          <w:lang w:val="en-GB" w:eastAsia="en-US"/>
        </w:rPr>
      </w:pPr>
      <w:r w:rsidRPr="00F7606D">
        <w:rPr>
          <w:lang w:val="en-GB" w:eastAsia="en-US"/>
        </w:rPr>
        <w:t>BRAVO (</w:t>
      </w:r>
      <w:r w:rsidRPr="00F7606D">
        <w:rPr>
          <w:rFonts w:eastAsiaTheme="minorHAnsi" w:cs="AdvPTimes"/>
          <w:lang w:val="en-GB" w:eastAsia="en-US"/>
        </w:rPr>
        <w:t>Benefit-Risk Assessment of AVonex and LaquinimOd</w:t>
      </w:r>
      <w:r w:rsidRPr="00F7606D">
        <w:rPr>
          <w:lang w:val="en-GB" w:eastAsia="en-US"/>
        </w:rPr>
        <w:t xml:space="preserve"> ) study, Vollmer </w:t>
      </w:r>
      <w:r w:rsidR="00852BF9">
        <w:rPr>
          <w:lang w:val="en-GB" w:eastAsia="en-US"/>
        </w:rPr>
        <w:t>et al. (</w:t>
      </w:r>
      <w:r w:rsidRPr="00F7606D">
        <w:rPr>
          <w:lang w:val="en-GB" w:eastAsia="en-US"/>
        </w:rPr>
        <w:t>2014</w:t>
      </w:r>
      <w:r w:rsidR="00852BF9">
        <w:rPr>
          <w:lang w:val="en-GB" w:eastAsia="en-US"/>
        </w:rPr>
        <w:t>)</w:t>
      </w:r>
      <w:r w:rsidRPr="00F7606D">
        <w:rPr>
          <w:lang w:val="en-GB" w:eastAsia="en-US"/>
        </w:rPr>
        <w:t xml:space="preserve">, not </w:t>
      </w:r>
      <w:r w:rsidRPr="00F7606D">
        <w:rPr>
          <w:lang w:val="en-GB"/>
        </w:rPr>
        <w:t xml:space="preserve">included in </w:t>
      </w:r>
      <w:r w:rsidR="00663354">
        <w:rPr>
          <w:lang w:val="en-GB"/>
        </w:rPr>
        <w:t>Tran</w:t>
      </w:r>
      <w:r w:rsidRPr="00F7606D">
        <w:rPr>
          <w:lang w:val="en-GB"/>
        </w:rPr>
        <w:t xml:space="preserve"> et al. </w:t>
      </w:r>
      <w:r w:rsidR="00204467" w:rsidRPr="00F7606D">
        <w:rPr>
          <w:lang w:val="en-GB"/>
        </w:rPr>
        <w:fldChar w:fldCharType="begin"/>
      </w:r>
      <w:r w:rsidR="00852BF9"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00852BF9" w:rsidRPr="00F7606D">
        <w:rPr>
          <w:noProof/>
          <w:lang w:val="en-GB"/>
        </w:rPr>
        <w:t>(</w:t>
      </w:r>
      <w:r w:rsidR="00852BF9">
        <w:rPr>
          <w:noProof/>
          <w:lang w:val="en-GB"/>
        </w:rPr>
        <w:t>2013</w:t>
      </w:r>
      <w:r w:rsidR="00852BF9" w:rsidRPr="00F7606D">
        <w:rPr>
          <w:noProof/>
          <w:lang w:val="en-GB"/>
        </w:rPr>
        <w:t>)</w:t>
      </w:r>
      <w:r w:rsidR="00204467" w:rsidRPr="00F7606D">
        <w:rPr>
          <w:lang w:val="en-GB"/>
        </w:rPr>
        <w:fldChar w:fldCharType="end"/>
      </w:r>
    </w:p>
    <w:tbl>
      <w:tblPr>
        <w:tblStyle w:val="afff"/>
        <w:tblW w:w="9351" w:type="dxa"/>
        <w:tblLook w:val="04A0"/>
      </w:tblPr>
      <w:tblGrid>
        <w:gridCol w:w="2547"/>
        <w:gridCol w:w="1984"/>
        <w:gridCol w:w="4820"/>
      </w:tblGrid>
      <w:tr w:rsidR="00EA7D99" w:rsidRPr="00F7606D" w:rsidTr="00EA7D99">
        <w:tc>
          <w:tcPr>
            <w:tcW w:w="254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RCT identification</w:t>
            </w:r>
          </w:p>
        </w:tc>
        <w:tc>
          <w:tcPr>
            <w:tcW w:w="6804"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tabs>
                <w:tab w:val="clear" w:pos="510"/>
                <w:tab w:val="left" w:pos="720"/>
              </w:tabs>
              <w:autoSpaceDE w:val="0"/>
              <w:autoSpaceDN w:val="0"/>
              <w:adjustRightInd w:val="0"/>
              <w:spacing w:line="240" w:lineRule="auto"/>
              <w:contextualSpacing/>
              <w:jc w:val="both"/>
              <w:rPr>
                <w:rFonts w:eastAsiaTheme="minorHAnsi"/>
                <w:szCs w:val="22"/>
                <w:lang w:val="en-GB" w:eastAsia="en-US"/>
              </w:rPr>
            </w:pPr>
            <w:r w:rsidRPr="00F7606D">
              <w:rPr>
                <w:szCs w:val="22"/>
                <w:lang w:val="en-GB"/>
              </w:rPr>
              <w:t>NCT00605215</w:t>
            </w:r>
          </w:p>
        </w:tc>
      </w:tr>
      <w:tr w:rsidR="00EA7D99" w:rsidRPr="00F7606D" w:rsidTr="00EA7D99">
        <w:tc>
          <w:tcPr>
            <w:tcW w:w="254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Study setting</w:t>
            </w:r>
          </w:p>
        </w:tc>
        <w:tc>
          <w:tcPr>
            <w:tcW w:w="6804"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tabs>
                <w:tab w:val="clear" w:pos="510"/>
                <w:tab w:val="left" w:pos="720"/>
              </w:tabs>
              <w:autoSpaceDE w:val="0"/>
              <w:autoSpaceDN w:val="0"/>
              <w:adjustRightInd w:val="0"/>
              <w:spacing w:line="240" w:lineRule="auto"/>
              <w:contextualSpacing/>
              <w:jc w:val="both"/>
              <w:rPr>
                <w:szCs w:val="22"/>
                <w:lang w:val="en-GB"/>
              </w:rPr>
            </w:pPr>
            <w:r w:rsidRPr="00F7606D">
              <w:rPr>
                <w:szCs w:val="22"/>
                <w:lang w:val="en-GB"/>
              </w:rPr>
              <w:t>A randomized placebo-controlled phase III trial</w:t>
            </w:r>
            <w:r w:rsidRPr="00F7606D">
              <w:rPr>
                <w:rFonts w:eastAsiaTheme="minorHAnsi" w:cs="AdvPTimes"/>
                <w:szCs w:val="22"/>
                <w:lang w:val="en-GB" w:eastAsia="en-US"/>
              </w:rPr>
              <w:t xml:space="preserve"> in </w:t>
            </w:r>
            <w:r w:rsidRPr="00F7606D">
              <w:rPr>
                <w:szCs w:val="22"/>
                <w:lang w:val="en-GB"/>
              </w:rPr>
              <w:t>155 sites in 18 countries (including. USA and several European countries)</w:t>
            </w:r>
          </w:p>
        </w:tc>
      </w:tr>
      <w:tr w:rsidR="00EA7D99" w:rsidRPr="00685670" w:rsidTr="00EA7D99">
        <w:tc>
          <w:tcPr>
            <w:tcW w:w="254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 xml:space="preserve">Participants </w:t>
            </w:r>
          </w:p>
        </w:tc>
        <w:tc>
          <w:tcPr>
            <w:tcW w:w="680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 w:val="left" w:pos="720"/>
              </w:tabs>
              <w:autoSpaceDE w:val="0"/>
              <w:autoSpaceDN w:val="0"/>
              <w:adjustRightInd w:val="0"/>
              <w:spacing w:line="240" w:lineRule="auto"/>
              <w:contextualSpacing/>
              <w:jc w:val="both"/>
              <w:rPr>
                <w:szCs w:val="22"/>
                <w:lang w:val="en-GB"/>
              </w:rPr>
            </w:pPr>
            <w:r w:rsidRPr="00F7606D">
              <w:rPr>
                <w:i/>
                <w:szCs w:val="22"/>
                <w:u w:val="single"/>
                <w:lang w:val="en-GB"/>
              </w:rPr>
              <w:t>Eligibility criteria:</w:t>
            </w:r>
            <w:r w:rsidRPr="00F7606D">
              <w:rPr>
                <w:szCs w:val="22"/>
                <w:lang w:val="en-GB"/>
              </w:rPr>
              <w:t xml:space="preserve"> age 18–55 years, diagnosis of RRMS (revised McDonald criteria), and EDSS scores of 0–5.5. At least one relapse in the previous 12 months, two in the previous 24 months, or one in the previous 12–24 months, plus one </w:t>
            </w:r>
            <w:r w:rsidRPr="00F7606D">
              <w:rPr>
                <w:rFonts w:eastAsiaTheme="minorHAnsi" w:cs="AdvPTimes"/>
                <w:szCs w:val="22"/>
                <w:lang w:val="en-GB" w:eastAsia="en-US"/>
              </w:rPr>
              <w:t>gadolinium-enhancing (GdE)</w:t>
            </w:r>
            <w:r w:rsidRPr="00F7606D">
              <w:rPr>
                <w:szCs w:val="22"/>
                <w:lang w:val="en-GB"/>
              </w:rPr>
              <w:t xml:space="preserve"> lesion in the previous 12 months. </w:t>
            </w:r>
          </w:p>
          <w:p w:rsidR="00EA7D99" w:rsidRPr="00F7606D" w:rsidRDefault="00EA7D99" w:rsidP="00EA7D99">
            <w:pPr>
              <w:tabs>
                <w:tab w:val="clear" w:pos="510"/>
                <w:tab w:val="left" w:pos="720"/>
              </w:tabs>
              <w:autoSpaceDE w:val="0"/>
              <w:autoSpaceDN w:val="0"/>
              <w:adjustRightInd w:val="0"/>
              <w:spacing w:line="240" w:lineRule="auto"/>
              <w:contextualSpacing/>
              <w:jc w:val="both"/>
              <w:rPr>
                <w:szCs w:val="22"/>
                <w:lang w:val="en-GB"/>
              </w:rPr>
            </w:pPr>
            <w:r w:rsidRPr="00F7606D">
              <w:rPr>
                <w:i/>
                <w:szCs w:val="22"/>
                <w:u w:val="single"/>
                <w:lang w:val="en-GB"/>
              </w:rPr>
              <w:t>Key exclusion criteria:</w:t>
            </w:r>
            <w:r w:rsidRPr="00F7606D">
              <w:rPr>
                <w:szCs w:val="22"/>
                <w:lang w:val="en-GB"/>
              </w:rPr>
              <w:t xml:space="preserve"> progressive forms of MS; use of glatiramer acetate in the previous 2 months; and prior use of natalizumab, laquinimod, cladribine, or any </w:t>
            </w:r>
            <w:r w:rsidRPr="00F7606D">
              <w:rPr>
                <w:rFonts w:eastAsiaTheme="minorHAnsi" w:cs="AdvPTimes"/>
                <w:szCs w:val="22"/>
                <w:lang w:val="en-GB" w:eastAsia="en-US"/>
              </w:rPr>
              <w:t>interferon beta</w:t>
            </w:r>
            <w:r w:rsidRPr="00F7606D">
              <w:rPr>
                <w:szCs w:val="22"/>
                <w:lang w:val="en-GB"/>
              </w:rPr>
              <w:t xml:space="preserve"> at any time.</w:t>
            </w:r>
          </w:p>
          <w:p w:rsidR="00EA7D99" w:rsidRPr="00F7606D" w:rsidRDefault="00EA7D99" w:rsidP="00EA7D99">
            <w:pPr>
              <w:tabs>
                <w:tab w:val="clear" w:pos="510"/>
                <w:tab w:val="left" w:pos="720"/>
              </w:tabs>
              <w:autoSpaceDE w:val="0"/>
              <w:autoSpaceDN w:val="0"/>
              <w:adjustRightInd w:val="0"/>
              <w:spacing w:line="240" w:lineRule="auto"/>
              <w:contextualSpacing/>
              <w:jc w:val="both"/>
              <w:rPr>
                <w:rFonts w:eastAsiaTheme="minorHAnsi" w:cs="AdvP641C"/>
                <w:szCs w:val="22"/>
                <w:u w:val="single"/>
                <w:lang w:val="en-GB" w:eastAsia="en-US"/>
              </w:rPr>
            </w:pPr>
            <w:r w:rsidRPr="00F7606D">
              <w:rPr>
                <w:rFonts w:eastAsiaTheme="minorHAnsi" w:cs="AdvP641C"/>
                <w:i/>
                <w:szCs w:val="22"/>
                <w:u w:val="single"/>
                <w:lang w:val="en-GB" w:eastAsia="en-US"/>
              </w:rPr>
              <w:t>Baseline characteristics (in placebo group):</w:t>
            </w:r>
            <w:r w:rsidRPr="00F7606D">
              <w:rPr>
                <w:rFonts w:eastAsiaTheme="minorHAnsi" w:cs="AdvP641C"/>
                <w:szCs w:val="22"/>
                <w:lang w:val="en-GB" w:eastAsia="en-US"/>
              </w:rPr>
              <w:t xml:space="preserve"> Age (median and 25-75 percentile) 37,5 (30,3-45,4); 71,3% female; EDSS (median and 25-75 percentile) </w:t>
            </w:r>
            <w:r w:rsidRPr="00F7606D">
              <w:rPr>
                <w:szCs w:val="22"/>
                <w:lang w:val="en-GB"/>
              </w:rPr>
              <w:t>2.5 (1.5, 3.5)</w:t>
            </w:r>
          </w:p>
        </w:tc>
      </w:tr>
      <w:tr w:rsidR="00EA7D99" w:rsidRPr="00685670" w:rsidTr="00EA7D99">
        <w:tc>
          <w:tcPr>
            <w:tcW w:w="254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Intervention group</w:t>
            </w:r>
          </w:p>
        </w:tc>
        <w:tc>
          <w:tcPr>
            <w:tcW w:w="6804"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tabs>
                <w:tab w:val="clear" w:pos="510"/>
                <w:tab w:val="left" w:pos="720"/>
              </w:tabs>
              <w:autoSpaceDE w:val="0"/>
              <w:autoSpaceDN w:val="0"/>
              <w:adjustRightInd w:val="0"/>
              <w:spacing w:line="240" w:lineRule="auto"/>
              <w:contextualSpacing/>
              <w:jc w:val="both"/>
              <w:rPr>
                <w:szCs w:val="22"/>
                <w:lang w:val="en-GB"/>
              </w:rPr>
            </w:pPr>
            <w:r w:rsidRPr="00F7606D">
              <w:rPr>
                <w:szCs w:val="22"/>
                <w:lang w:val="en-GB"/>
              </w:rPr>
              <w:t>Laquinimod 0.6 mg capsule q.d. (n=434)[not our scope]</w:t>
            </w:r>
          </w:p>
          <w:p w:rsidR="00EA7D99" w:rsidRPr="00F7606D" w:rsidRDefault="00EA7D99" w:rsidP="00EA7D99">
            <w:pPr>
              <w:tabs>
                <w:tab w:val="clear" w:pos="510"/>
                <w:tab w:val="left" w:pos="72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PTimes"/>
                <w:szCs w:val="22"/>
                <w:lang w:val="en-GB" w:eastAsia="en-US"/>
              </w:rPr>
              <w:t>Interferon beta-1a</w:t>
            </w:r>
            <w:r w:rsidRPr="00F7606D">
              <w:rPr>
                <w:szCs w:val="22"/>
                <w:lang w:val="en-GB"/>
              </w:rPr>
              <w:t xml:space="preserve"> IM 30 mcg once-weekly injection (n = 447)</w:t>
            </w:r>
          </w:p>
        </w:tc>
      </w:tr>
      <w:tr w:rsidR="00EA7D99" w:rsidRPr="00F7606D" w:rsidTr="00EA7D99">
        <w:tc>
          <w:tcPr>
            <w:tcW w:w="254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Comparison group</w:t>
            </w:r>
          </w:p>
        </w:tc>
        <w:tc>
          <w:tcPr>
            <w:tcW w:w="6804"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tabs>
                <w:tab w:val="clear" w:pos="510"/>
                <w:tab w:val="left" w:pos="72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P641C"/>
                <w:szCs w:val="22"/>
                <w:lang w:val="en-GB" w:eastAsia="en-US"/>
              </w:rPr>
              <w:t xml:space="preserve">Placebo (matching laquinimod) </w:t>
            </w:r>
            <w:r w:rsidRPr="00F7606D">
              <w:rPr>
                <w:szCs w:val="22"/>
                <w:lang w:val="en-GB"/>
              </w:rPr>
              <w:t>(n = 450)</w:t>
            </w:r>
          </w:p>
        </w:tc>
      </w:tr>
      <w:tr w:rsidR="00EA7D99" w:rsidRPr="00E02224" w:rsidTr="00EA7D99">
        <w:tc>
          <w:tcPr>
            <w:tcW w:w="254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Outcome</w:t>
            </w:r>
          </w:p>
        </w:tc>
        <w:tc>
          <w:tcPr>
            <w:tcW w:w="680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 w:val="left" w:pos="720"/>
              </w:tabs>
              <w:autoSpaceDE w:val="0"/>
              <w:autoSpaceDN w:val="0"/>
              <w:adjustRightInd w:val="0"/>
              <w:spacing w:line="240" w:lineRule="auto"/>
              <w:contextualSpacing/>
              <w:jc w:val="both"/>
              <w:rPr>
                <w:szCs w:val="22"/>
                <w:lang w:val="en-GB"/>
              </w:rPr>
            </w:pPr>
            <w:r w:rsidRPr="00F7606D">
              <w:rPr>
                <w:i/>
                <w:szCs w:val="22"/>
                <w:u w:val="single"/>
                <w:lang w:val="en-GB"/>
              </w:rPr>
              <w:t>Primary endpoints:</w:t>
            </w:r>
            <w:r w:rsidRPr="00F7606D">
              <w:rPr>
                <w:szCs w:val="22"/>
                <w:lang w:val="en-GB"/>
              </w:rPr>
              <w:t xml:space="preserve"> Annualized relapse rate (ARR) </w:t>
            </w:r>
          </w:p>
          <w:p w:rsidR="00EA7D99" w:rsidRPr="00F7606D" w:rsidRDefault="00EA7D99" w:rsidP="00EA7D99">
            <w:pPr>
              <w:tabs>
                <w:tab w:val="clear" w:pos="510"/>
                <w:tab w:val="left" w:pos="720"/>
              </w:tabs>
              <w:autoSpaceDE w:val="0"/>
              <w:autoSpaceDN w:val="0"/>
              <w:adjustRightInd w:val="0"/>
              <w:spacing w:line="240" w:lineRule="auto"/>
              <w:contextualSpacing/>
              <w:jc w:val="both"/>
              <w:rPr>
                <w:szCs w:val="22"/>
                <w:lang w:val="en-GB"/>
              </w:rPr>
            </w:pPr>
            <w:r w:rsidRPr="00F7606D">
              <w:rPr>
                <w:i/>
                <w:szCs w:val="22"/>
                <w:u w:val="single"/>
                <w:lang w:val="en-GB"/>
              </w:rPr>
              <w:t>Secondary endpoints:</w:t>
            </w:r>
            <w:r w:rsidRPr="00F7606D">
              <w:rPr>
                <w:szCs w:val="22"/>
                <w:lang w:val="en-GB"/>
              </w:rPr>
              <w:t xml:space="preserve"> percent change in normalized brain volume from baseline to 24 months; changes in disability measured with EDSS. Disability (MSFC z-score at 24 months/early termination)</w:t>
            </w:r>
          </w:p>
          <w:p w:rsidR="00EA7D99" w:rsidRPr="00F7606D" w:rsidRDefault="00EA7D99" w:rsidP="00EA7D99">
            <w:pPr>
              <w:tabs>
                <w:tab w:val="clear" w:pos="510"/>
                <w:tab w:val="left" w:pos="720"/>
              </w:tabs>
              <w:autoSpaceDE w:val="0"/>
              <w:autoSpaceDN w:val="0"/>
              <w:adjustRightInd w:val="0"/>
              <w:spacing w:line="240" w:lineRule="auto"/>
              <w:contextualSpacing/>
              <w:jc w:val="both"/>
              <w:rPr>
                <w:szCs w:val="22"/>
                <w:lang w:val="en-GB"/>
              </w:rPr>
            </w:pPr>
            <w:r w:rsidRPr="00F7606D">
              <w:rPr>
                <w:i/>
                <w:szCs w:val="22"/>
                <w:u w:val="single"/>
                <w:lang w:val="en-GB"/>
              </w:rPr>
              <w:t>Exploratory endpoints:</w:t>
            </w:r>
            <w:r w:rsidRPr="00F7606D">
              <w:rPr>
                <w:szCs w:val="22"/>
                <w:lang w:val="en-GB"/>
              </w:rPr>
              <w:t xml:space="preserve"> confirmed worsening of EDSS scores sustained for 6 months. MRI endpoints: the cumulative numbers at 12, 24 months of GdE lesions and of new or enlarging ([50 % larger than previous scan) T2 lesions</w:t>
            </w:r>
          </w:p>
          <w:p w:rsidR="00EA7D99" w:rsidRPr="00F7606D" w:rsidRDefault="00EA7D99" w:rsidP="00EA7D99">
            <w:pPr>
              <w:tabs>
                <w:tab w:val="clear" w:pos="510"/>
                <w:tab w:val="left" w:pos="720"/>
              </w:tabs>
              <w:autoSpaceDE w:val="0"/>
              <w:autoSpaceDN w:val="0"/>
              <w:adjustRightInd w:val="0"/>
              <w:spacing w:line="240" w:lineRule="auto"/>
              <w:contextualSpacing/>
              <w:jc w:val="both"/>
              <w:rPr>
                <w:szCs w:val="22"/>
                <w:lang w:val="en-GB"/>
              </w:rPr>
            </w:pPr>
            <w:r w:rsidRPr="00F7606D">
              <w:rPr>
                <w:szCs w:val="22"/>
                <w:u w:val="single"/>
                <w:lang w:val="en-GB"/>
              </w:rPr>
              <w:t>Definitions used for endpoints:</w:t>
            </w:r>
            <w:r w:rsidRPr="00F7606D">
              <w:rPr>
                <w:szCs w:val="22"/>
                <w:lang w:val="en-GB"/>
              </w:rPr>
              <w:t xml:space="preserve"> </w:t>
            </w:r>
            <w:r w:rsidRPr="00F7606D">
              <w:rPr>
                <w:i/>
                <w:szCs w:val="22"/>
                <w:u w:val="single"/>
                <w:lang w:val="en-GB"/>
              </w:rPr>
              <w:t>Relapse</w:t>
            </w:r>
            <w:r w:rsidRPr="00F7606D">
              <w:rPr>
                <w:szCs w:val="22"/>
                <w:lang w:val="en-GB"/>
              </w:rPr>
              <w:t>= appearance of one or more new neurological abnormalities, or reappearance of one or more previously observed neurological abnormalities, in the absence of fever, persisting for &gt;= 48 h, preceded by &gt; 30 days of a stable or improving condition, and accompanied by at least one of the following: an increase of at least 0.5 point in EDSS score, an increase of one grade in the score of two of the seven functional systems (FS) on the EDSS, or an increase of two grades in one FS.</w:t>
            </w:r>
          </w:p>
          <w:p w:rsidR="00EA7D99" w:rsidRPr="00F7606D" w:rsidRDefault="00EA7D99" w:rsidP="00EA7D99">
            <w:pPr>
              <w:tabs>
                <w:tab w:val="clear" w:pos="510"/>
                <w:tab w:val="left" w:pos="720"/>
              </w:tabs>
              <w:autoSpaceDE w:val="0"/>
              <w:autoSpaceDN w:val="0"/>
              <w:adjustRightInd w:val="0"/>
              <w:spacing w:line="240" w:lineRule="auto"/>
              <w:contextualSpacing/>
              <w:jc w:val="both"/>
              <w:rPr>
                <w:rFonts w:eastAsiaTheme="minorHAnsi" w:cs="AdvP641C"/>
                <w:szCs w:val="22"/>
                <w:lang w:val="en-GB" w:eastAsia="en-US"/>
              </w:rPr>
            </w:pPr>
            <w:r w:rsidRPr="00F7606D">
              <w:rPr>
                <w:i/>
                <w:szCs w:val="22"/>
                <w:u w:val="single"/>
                <w:lang w:val="en-GB"/>
              </w:rPr>
              <w:t>Disability progression</w:t>
            </w:r>
            <w:r w:rsidRPr="00F7606D">
              <w:rPr>
                <w:szCs w:val="22"/>
                <w:lang w:val="en-GB"/>
              </w:rPr>
              <w:t xml:space="preserve">: a 1.0 point EDSS increase in EDSS if baseline score 0-5.0, or a 0.5 if baseline score was 5.5, for 3 months. </w:t>
            </w:r>
          </w:p>
        </w:tc>
      </w:tr>
      <w:tr w:rsidR="00EA7D99" w:rsidRPr="00F7606D" w:rsidTr="00EA7D99">
        <w:tc>
          <w:tcPr>
            <w:tcW w:w="254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Follow-up</w:t>
            </w:r>
          </w:p>
        </w:tc>
        <w:tc>
          <w:tcPr>
            <w:tcW w:w="6804"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tabs>
                <w:tab w:val="clear" w:pos="510"/>
                <w:tab w:val="left" w:pos="72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2 years</w:t>
            </w:r>
          </w:p>
        </w:tc>
      </w:tr>
      <w:tr w:rsidR="00EA7D99" w:rsidRPr="00685670" w:rsidTr="00EA7D99">
        <w:tc>
          <w:tcPr>
            <w:tcW w:w="254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rFonts w:eastAsiaTheme="minorHAnsi"/>
                <w:szCs w:val="22"/>
                <w:lang w:val="en-GB" w:eastAsia="en-US"/>
              </w:rPr>
            </w:pPr>
            <w:r w:rsidRPr="00F7606D">
              <w:rPr>
                <w:b/>
                <w:szCs w:val="22"/>
                <w:lang w:val="en-GB"/>
              </w:rPr>
              <w:t>Treatment history</w:t>
            </w:r>
          </w:p>
        </w:tc>
        <w:tc>
          <w:tcPr>
            <w:tcW w:w="680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autoSpaceDE w:val="0"/>
              <w:autoSpaceDN w:val="0"/>
              <w:adjustRightInd w:val="0"/>
              <w:spacing w:line="240" w:lineRule="auto"/>
              <w:contextualSpacing/>
              <w:jc w:val="both"/>
              <w:rPr>
                <w:rFonts w:cs="TimesNewRomanPSMT"/>
                <w:szCs w:val="22"/>
                <w:lang w:val="en-GB"/>
              </w:rPr>
            </w:pPr>
            <w:r w:rsidRPr="00F7606D">
              <w:rPr>
                <w:rFonts w:cs="TimesNewRomanPSMT"/>
                <w:szCs w:val="22"/>
                <w:lang w:val="en-GB"/>
              </w:rPr>
              <w:t>Mixed (based on exclusion criteria)</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7D99" w:rsidRPr="00F7606D" w:rsidRDefault="00EA7D99" w:rsidP="00EA7D99">
            <w:pPr>
              <w:spacing w:line="240" w:lineRule="auto"/>
              <w:contextualSpacing/>
              <w:jc w:val="both"/>
              <w:rPr>
                <w:szCs w:val="22"/>
                <w:lang w:val="en-GB"/>
              </w:rPr>
            </w:pPr>
            <w:r w:rsidRPr="00F7606D">
              <w:rPr>
                <w:b/>
                <w:szCs w:val="22"/>
                <w:lang w:val="en-GB"/>
              </w:rPr>
              <w:t>Risk of bias</w:t>
            </w:r>
          </w:p>
        </w:tc>
      </w:tr>
      <w:tr w:rsidR="00EA7D99" w:rsidRPr="00F7606D" w:rsidTr="00EA7D99">
        <w:tc>
          <w:tcPr>
            <w:tcW w:w="4531"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Random sequence generation</w:t>
            </w:r>
          </w:p>
        </w:tc>
        <w:tc>
          <w:tcPr>
            <w:tcW w:w="4820"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tabs>
                <w:tab w:val="clear" w:pos="510"/>
                <w:tab w:val="left" w:pos="720"/>
              </w:tabs>
              <w:autoSpaceDE w:val="0"/>
              <w:autoSpaceDN w:val="0"/>
              <w:adjustRightInd w:val="0"/>
              <w:spacing w:line="240" w:lineRule="auto"/>
              <w:contextualSpacing/>
              <w:rPr>
                <w:rFonts w:eastAsiaTheme="minorHAnsi" w:cs="AdvPTimes"/>
                <w:szCs w:val="22"/>
                <w:lang w:val="en-GB" w:eastAsia="en-US"/>
              </w:rPr>
            </w:pPr>
            <w:r w:rsidRPr="00F7606D">
              <w:rPr>
                <w:szCs w:val="22"/>
                <w:lang w:val="en-GB"/>
              </w:rPr>
              <w:t xml:space="preserve">Low risk </w:t>
            </w:r>
          </w:p>
        </w:tc>
      </w:tr>
      <w:tr w:rsidR="00EA7D99" w:rsidRPr="00685670" w:rsidTr="00EA7D99">
        <w:tc>
          <w:tcPr>
            <w:tcW w:w="4531"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Allocation concealment</w:t>
            </w:r>
          </w:p>
        </w:tc>
        <w:tc>
          <w:tcPr>
            <w:tcW w:w="4820"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szCs w:val="22"/>
                <w:lang w:val="en-GB"/>
              </w:rPr>
            </w:pPr>
            <w:r w:rsidRPr="00F7606D">
              <w:rPr>
                <w:szCs w:val="22"/>
                <w:lang w:val="en-GB"/>
              </w:rPr>
              <w:t>Not described</w:t>
            </w:r>
            <w:r w:rsidRPr="00F7606D">
              <w:rPr>
                <w:sz w:val="18"/>
                <w:szCs w:val="18"/>
                <w:lang w:val="en-GB"/>
              </w:rPr>
              <w:t>. (Assume low risk based on description of sequence generation and blinding)</w:t>
            </w:r>
          </w:p>
        </w:tc>
      </w:tr>
      <w:tr w:rsidR="00EA7D99" w:rsidRPr="00F7606D" w:rsidTr="00EA7D99">
        <w:tc>
          <w:tcPr>
            <w:tcW w:w="4531"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Blinding of participant and personnel</w:t>
            </w:r>
          </w:p>
        </w:tc>
        <w:tc>
          <w:tcPr>
            <w:tcW w:w="4820"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tabs>
                <w:tab w:val="clear" w:pos="510"/>
                <w:tab w:val="left" w:pos="720"/>
              </w:tabs>
              <w:autoSpaceDE w:val="0"/>
              <w:autoSpaceDN w:val="0"/>
              <w:adjustRightInd w:val="0"/>
              <w:spacing w:line="240" w:lineRule="auto"/>
              <w:contextualSpacing/>
              <w:rPr>
                <w:rFonts w:eastAsiaTheme="minorHAnsi" w:cs="AdvPTimes"/>
                <w:szCs w:val="22"/>
                <w:lang w:val="en-GB" w:eastAsia="en-US"/>
              </w:rPr>
            </w:pPr>
            <w:r w:rsidRPr="00F7606D">
              <w:rPr>
                <w:szCs w:val="22"/>
                <w:lang w:val="en-GB"/>
              </w:rPr>
              <w:t xml:space="preserve">Not for our comparison </w:t>
            </w:r>
          </w:p>
        </w:tc>
      </w:tr>
      <w:tr w:rsidR="00EA7D99" w:rsidRPr="00F7606D" w:rsidTr="00EA7D99">
        <w:tc>
          <w:tcPr>
            <w:tcW w:w="4531"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Blinding of outcome assessment</w:t>
            </w:r>
          </w:p>
        </w:tc>
        <w:tc>
          <w:tcPr>
            <w:tcW w:w="4820"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531"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Incomplete outcome data</w:t>
            </w:r>
          </w:p>
        </w:tc>
        <w:tc>
          <w:tcPr>
            <w:tcW w:w="4820"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tabs>
                <w:tab w:val="clear" w:pos="510"/>
                <w:tab w:val="left" w:pos="720"/>
              </w:tabs>
              <w:autoSpaceDE w:val="0"/>
              <w:autoSpaceDN w:val="0"/>
              <w:adjustRightInd w:val="0"/>
              <w:spacing w:line="240" w:lineRule="auto"/>
              <w:contextualSpacing/>
              <w:rPr>
                <w:szCs w:val="22"/>
                <w:lang w:val="en-GB"/>
              </w:rPr>
            </w:pPr>
            <w:r w:rsidRPr="00F7606D">
              <w:rPr>
                <w:szCs w:val="22"/>
                <w:lang w:val="en-GB"/>
              </w:rPr>
              <w:t>Low risk</w:t>
            </w:r>
          </w:p>
        </w:tc>
      </w:tr>
      <w:tr w:rsidR="00EA7D99" w:rsidRPr="00F7606D" w:rsidTr="00EA7D99">
        <w:tc>
          <w:tcPr>
            <w:tcW w:w="4531"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Selective reporting</w:t>
            </w:r>
          </w:p>
        </w:tc>
        <w:tc>
          <w:tcPr>
            <w:tcW w:w="4820"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szCs w:val="22"/>
                <w:lang w:val="en-GB"/>
              </w:rPr>
            </w:pPr>
            <w:r w:rsidRPr="00F7606D">
              <w:rPr>
                <w:szCs w:val="22"/>
                <w:lang w:val="en-GB"/>
              </w:rPr>
              <w:t>None detected</w:t>
            </w:r>
          </w:p>
        </w:tc>
      </w:tr>
      <w:tr w:rsidR="00EA7D99" w:rsidRPr="00685670" w:rsidTr="00EA7D99">
        <w:tc>
          <w:tcPr>
            <w:tcW w:w="4531"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Other sources of bias</w:t>
            </w:r>
          </w:p>
        </w:tc>
        <w:tc>
          <w:tcPr>
            <w:tcW w:w="4820"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sz w:val="16"/>
                <w:szCs w:val="16"/>
                <w:lang w:val="en-GB"/>
              </w:rPr>
            </w:pPr>
            <w:r w:rsidRPr="00F7606D">
              <w:rPr>
                <w:sz w:val="16"/>
                <w:szCs w:val="16"/>
                <w:lang w:val="en-GB"/>
              </w:rPr>
              <w:t xml:space="preserve">Differences in mean T2 lesion volume and GdE lesions at baseline between  laquinimod or IFNb-1a groups </w:t>
            </w:r>
          </w:p>
        </w:tc>
      </w:tr>
    </w:tbl>
    <w:p w:rsidR="00EA7D99" w:rsidRPr="00F7606D" w:rsidRDefault="00EA7D99" w:rsidP="00EA7D99">
      <w:pPr>
        <w:spacing w:line="240" w:lineRule="auto"/>
        <w:rPr>
          <w:b/>
        </w:rPr>
      </w:pPr>
    </w:p>
    <w:p w:rsidR="00EA7D99" w:rsidRPr="00F7606D" w:rsidRDefault="00EA7D99" w:rsidP="00EA7D99">
      <w:pPr>
        <w:pStyle w:val="31"/>
        <w:spacing w:line="240" w:lineRule="auto"/>
        <w:contextualSpacing/>
        <w:jc w:val="both"/>
        <w:rPr>
          <w:szCs w:val="22"/>
          <w:lang w:val="en-GB"/>
        </w:rPr>
      </w:pPr>
      <w:r w:rsidRPr="00F7606D">
        <w:rPr>
          <w:szCs w:val="22"/>
          <w:lang w:val="en-GB"/>
        </w:rPr>
        <w:t>Interferon beta 1a (sc)</w:t>
      </w:r>
    </w:p>
    <w:p w:rsidR="00EA7D99" w:rsidRPr="00F7606D" w:rsidRDefault="00EA7D99" w:rsidP="004B4975">
      <w:pPr>
        <w:pStyle w:val="41"/>
        <w:numPr>
          <w:ilvl w:val="0"/>
          <w:numId w:val="0"/>
        </w:numPr>
        <w:spacing w:line="240" w:lineRule="auto"/>
        <w:contextualSpacing/>
        <w:rPr>
          <w:szCs w:val="22"/>
          <w:lang w:val="en-GB"/>
        </w:rPr>
      </w:pPr>
      <w:r w:rsidRPr="00F7606D">
        <w:rPr>
          <w:szCs w:val="22"/>
          <w:lang w:val="en-GB"/>
        </w:rPr>
        <w:t>PRISMS (</w:t>
      </w:r>
      <w:r w:rsidRPr="00F7606D">
        <w:rPr>
          <w:rFonts w:eastAsiaTheme="minorHAnsi" w:cs="FranklinGothic-Book"/>
          <w:szCs w:val="22"/>
          <w:lang w:val="en-GB" w:eastAsia="en-US"/>
        </w:rPr>
        <w:t xml:space="preserve">Prevention of Relapses and Disability by Interferon </w:t>
      </w:r>
      <w:r w:rsidRPr="00F7606D">
        <w:rPr>
          <w:rFonts w:eastAsiaTheme="minorHAnsi" w:cs="Universal-GreekwithMathPi"/>
          <w:szCs w:val="22"/>
          <w:lang w:val="en-GB" w:eastAsia="en-US"/>
        </w:rPr>
        <w:t>_</w:t>
      </w:r>
      <w:r w:rsidRPr="00F7606D">
        <w:rPr>
          <w:rFonts w:eastAsiaTheme="minorHAnsi" w:cs="FranklinGothic-Book"/>
          <w:szCs w:val="22"/>
          <w:lang w:val="en-GB" w:eastAsia="en-US"/>
        </w:rPr>
        <w:t>beta 1a Subcutaneously in Multiple Sclerosis)</w:t>
      </w:r>
      <w:r w:rsidRPr="00F7606D">
        <w:rPr>
          <w:szCs w:val="22"/>
          <w:lang w:val="en-GB"/>
        </w:rPr>
        <w:t xml:space="preserve"> study1998, in </w:t>
      </w:r>
      <w:r w:rsidR="00663354">
        <w:rPr>
          <w:szCs w:val="22"/>
          <w:lang w:val="en-GB"/>
        </w:rPr>
        <w:t>Tran</w:t>
      </w:r>
      <w:r w:rsidRPr="00F7606D">
        <w:rPr>
          <w:szCs w:val="22"/>
          <w:lang w:val="en-GB"/>
        </w:rPr>
        <w:t xml:space="preserve"> et al. </w:t>
      </w:r>
      <w:r w:rsidR="00204467" w:rsidRPr="00F7606D">
        <w:rPr>
          <w:lang w:val="en-GB"/>
        </w:rPr>
        <w:fldChar w:fldCharType="begin"/>
      </w:r>
      <w:r w:rsidR="00852BF9"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00852BF9" w:rsidRPr="00F7606D">
        <w:rPr>
          <w:noProof/>
          <w:lang w:val="en-GB"/>
        </w:rPr>
        <w:t>(</w:t>
      </w:r>
      <w:r w:rsidR="00852BF9">
        <w:rPr>
          <w:noProof/>
          <w:lang w:val="en-GB"/>
        </w:rPr>
        <w:t>2013</w:t>
      </w:r>
      <w:r w:rsidR="00852BF9" w:rsidRPr="00F7606D">
        <w:rPr>
          <w:noProof/>
          <w:lang w:val="en-GB"/>
        </w:rPr>
        <w:t>)</w:t>
      </w:r>
      <w:r w:rsidR="00204467" w:rsidRPr="00F7606D">
        <w:rPr>
          <w:lang w:val="en-GB"/>
        </w:rPr>
        <w:fldChar w:fldCharType="end"/>
      </w:r>
    </w:p>
    <w:tbl>
      <w:tblPr>
        <w:tblStyle w:val="afff"/>
        <w:tblW w:w="9351" w:type="dxa"/>
        <w:tblLook w:val="04A0"/>
      </w:tblPr>
      <w:tblGrid>
        <w:gridCol w:w="2687"/>
        <w:gridCol w:w="1559"/>
        <w:gridCol w:w="5105"/>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Not reported</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Double-blind, randomized, controlled trial. 22 centres in 9 countries including Australia, Canada, and Europe.</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Eligibility criteria</w:t>
            </w:r>
            <w:r w:rsidRPr="00F7606D">
              <w:rPr>
                <w:rFonts w:ascii="Georgia" w:hAnsi="Georgia"/>
                <w:sz w:val="22"/>
                <w:szCs w:val="22"/>
                <w:u w:val="single"/>
                <w:lang w:val="en-GB"/>
              </w:rPr>
              <w:t xml:space="preserve">: </w:t>
            </w:r>
            <w:r w:rsidRPr="00F7606D">
              <w:rPr>
                <w:rFonts w:ascii="Georgia" w:hAnsi="Georgia"/>
                <w:sz w:val="22"/>
                <w:szCs w:val="22"/>
                <w:lang w:val="en-GB"/>
              </w:rPr>
              <w:t xml:space="preserve">Adult RRMS patients (Poser et al.), EDSS = 0 to 5.0; had ≥ 2 relapses in previous 2 years. </w:t>
            </w: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Key exclusion criteria</w:t>
            </w:r>
            <w:r w:rsidRPr="00F7606D">
              <w:rPr>
                <w:rFonts w:ascii="Georgia" w:hAnsi="Georgia"/>
                <w:sz w:val="22"/>
                <w:szCs w:val="22"/>
                <w:u w:val="single"/>
                <w:lang w:val="en-GB"/>
              </w:rPr>
              <w:t>:</w:t>
            </w:r>
            <w:r w:rsidRPr="00F7606D">
              <w:rPr>
                <w:rFonts w:ascii="Georgia" w:hAnsi="Georgia"/>
                <w:sz w:val="22"/>
                <w:szCs w:val="22"/>
                <w:lang w:val="en-GB"/>
              </w:rPr>
              <w:t xml:space="preserve"> Previous systemic treatment with IFN, lymphoid irradiation, or cyclophosphamide, or with other immunomodulatory or immunosuppressive treatments in the preceding 12 months.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AGaramond-R"/>
                <w:color w:val="231F20"/>
                <w:szCs w:val="22"/>
                <w:lang w:val="en-GB" w:eastAsia="en-US"/>
              </w:rPr>
            </w:pPr>
            <w:r w:rsidRPr="00F7606D">
              <w:rPr>
                <w:rFonts w:eastAsiaTheme="minorHAnsi" w:cs="AdvAGaramond-R"/>
                <w:color w:val="231F20"/>
                <w:szCs w:val="22"/>
                <w:u w:val="single"/>
                <w:lang w:val="en-GB" w:eastAsia="en-US"/>
              </w:rPr>
              <w:t>Baseline characteristics:</w:t>
            </w:r>
            <w:r w:rsidRPr="00F7606D">
              <w:rPr>
                <w:rFonts w:eastAsiaTheme="minorHAnsi" w:cs="AdvAGaramond-R"/>
                <w:color w:val="231F20"/>
                <w:szCs w:val="22"/>
                <w:lang w:val="en-GB" w:eastAsia="en-US"/>
              </w:rPr>
              <w:t xml:space="preserve"> Age: median (interquartile range) 35 (29-40); 69% female; EDSS:2.5+/-1.2</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Interferon beta-1a 22 mcg SC t.i.w.(n=189)</w:t>
            </w:r>
          </w:p>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Interferon beta-1a 44 mcg SC t.i.w. (n=184)</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Placebo (n=187)</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w:t>
            </w:r>
            <w:r w:rsidRPr="00F7606D">
              <w:rPr>
                <w:rFonts w:ascii="Georgia" w:hAnsi="Georgia"/>
                <w:sz w:val="22"/>
                <w:szCs w:val="22"/>
                <w:u w:val="single"/>
                <w:lang w:val="en-GB"/>
              </w:rPr>
              <w:t>:</w:t>
            </w:r>
            <w:r w:rsidRPr="00F7606D">
              <w:rPr>
                <w:rFonts w:ascii="Georgia" w:hAnsi="Georgia"/>
                <w:sz w:val="22"/>
                <w:szCs w:val="22"/>
                <w:lang w:val="en-GB"/>
              </w:rPr>
              <w:t xml:space="preserve"> Number of relapses.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Secondary endpoints</w:t>
            </w:r>
            <w:r w:rsidRPr="00F7606D">
              <w:rPr>
                <w:szCs w:val="22"/>
                <w:u w:val="single"/>
                <w:lang w:val="en-GB"/>
              </w:rPr>
              <w:t>:</w:t>
            </w:r>
            <w:r w:rsidRPr="00F7606D">
              <w:rPr>
                <w:szCs w:val="22"/>
                <w:lang w:val="en-GB"/>
              </w:rPr>
              <w:t xml:space="preserve"> Times to first and second relapse, proportion of relapse-free patients, disability progression, ambulation index, need for steroid therapy and hospitalization, and disease activity under MRI and burden of disease.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Cs/>
                <w:sz w:val="22"/>
                <w:szCs w:val="22"/>
                <w:u w:val="single"/>
                <w:lang w:val="en-GB"/>
              </w:rPr>
              <w:t>Definitions used for endpoints:</w:t>
            </w:r>
            <w:r w:rsidRPr="00F7606D">
              <w:rPr>
                <w:rFonts w:ascii="Georgia" w:hAnsi="Georgia"/>
                <w:i/>
                <w:iCs/>
                <w:sz w:val="22"/>
                <w:szCs w:val="22"/>
                <w:lang w:val="en-GB"/>
              </w:rPr>
              <w:t xml:space="preserve"> </w:t>
            </w:r>
            <w:r w:rsidRPr="00F7606D">
              <w:rPr>
                <w:rFonts w:ascii="Georgia" w:hAnsi="Georgia"/>
                <w:i/>
                <w:iCs/>
                <w:sz w:val="22"/>
                <w:szCs w:val="22"/>
                <w:u w:val="single"/>
                <w:lang w:val="en-GB"/>
              </w:rPr>
              <w:t>Relapses</w:t>
            </w:r>
            <w:r w:rsidRPr="00F7606D">
              <w:rPr>
                <w:rFonts w:ascii="Georgia" w:hAnsi="Georgia"/>
                <w:sz w:val="22"/>
                <w:szCs w:val="22"/>
                <w:u w:val="single"/>
                <w:lang w:val="en-GB"/>
              </w:rPr>
              <w:t>:</w:t>
            </w:r>
            <w:r w:rsidRPr="00F7606D">
              <w:rPr>
                <w:rFonts w:ascii="Georgia" w:hAnsi="Georgia"/>
                <w:sz w:val="22"/>
                <w:szCs w:val="22"/>
                <w:lang w:val="en-GB"/>
              </w:rPr>
              <w:t xml:space="preserve"> The appearance of a new symptom or worsening of an old symptom over at least 24 hours that could be attributed to MS activity and was preceded by stability or improvement for at least 30 days.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Disability progression</w:t>
            </w:r>
            <w:r w:rsidRPr="00F7606D">
              <w:rPr>
                <w:szCs w:val="22"/>
                <w:u w:val="single"/>
                <w:lang w:val="en-GB"/>
              </w:rPr>
              <w:t>:</w:t>
            </w:r>
            <w:r w:rsidRPr="00F7606D">
              <w:rPr>
                <w:szCs w:val="22"/>
                <w:lang w:val="en-GB"/>
              </w:rPr>
              <w:t xml:space="preserve"> An increase in EDSS of at least 1 point sustained over at least 3 months.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2 years</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 xml:space="preserve">Treatment-naive (based on exclusion criteria, year of study, and clinical expert input). </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Randomization</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Allocation concealment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Double-blinding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Baseline characteristic similarity</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 measures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Withdrawals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10%</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ITT Analysis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Funding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Manufacturer</w:t>
            </w:r>
          </w:p>
        </w:tc>
      </w:tr>
    </w:tbl>
    <w:p w:rsidR="00EA7D99" w:rsidRPr="00F7606D" w:rsidRDefault="00EA7D99" w:rsidP="00EA7D99">
      <w:pPr>
        <w:spacing w:line="240" w:lineRule="auto"/>
        <w:contextualSpacing/>
        <w:rPr>
          <w:b/>
          <w:i/>
          <w:szCs w:val="28"/>
        </w:rPr>
      </w:pPr>
    </w:p>
    <w:p w:rsidR="004B4975" w:rsidRDefault="004B4975" w:rsidP="004B4975">
      <w:pPr>
        <w:pStyle w:val="41"/>
        <w:numPr>
          <w:ilvl w:val="0"/>
          <w:numId w:val="0"/>
        </w:numPr>
        <w:spacing w:line="240" w:lineRule="auto"/>
        <w:ind w:left="720"/>
        <w:contextualSpacing/>
        <w:rPr>
          <w:lang w:val="en-GB"/>
        </w:rPr>
      </w:pPr>
    </w:p>
    <w:p w:rsidR="00EA7D99" w:rsidRDefault="00EA7D99" w:rsidP="004B4975">
      <w:pPr>
        <w:pStyle w:val="41"/>
        <w:numPr>
          <w:ilvl w:val="0"/>
          <w:numId w:val="0"/>
        </w:numPr>
        <w:spacing w:line="240" w:lineRule="auto"/>
        <w:contextualSpacing/>
        <w:rPr>
          <w:lang w:val="en-GB"/>
        </w:rPr>
      </w:pPr>
      <w:r w:rsidRPr="00F7606D">
        <w:rPr>
          <w:lang w:val="en-GB"/>
        </w:rPr>
        <w:t xml:space="preserve">IMPROVE </w:t>
      </w:r>
      <w:r w:rsidRPr="00F7606D">
        <w:rPr>
          <w:rFonts w:cs="Courier New"/>
          <w:color w:val="000000"/>
          <w:lang w:val="en-GB" w:eastAsia="en-US"/>
        </w:rPr>
        <w:t>(Investigating MRI Parameters with RebifimprOVEd formulation)</w:t>
      </w:r>
      <w:r w:rsidRPr="00F7606D">
        <w:rPr>
          <w:lang w:val="en-GB"/>
        </w:rPr>
        <w:t xml:space="preserve"> study 2010, De Stefano et al.,</w:t>
      </w:r>
      <w:r w:rsidR="00204467" w:rsidRPr="00F7606D">
        <w:rPr>
          <w:lang w:val="en-GB"/>
        </w:rPr>
        <w:fldChar w:fldCharType="begin"/>
      </w:r>
      <w:r>
        <w:rPr>
          <w:lang w:val="en-GB"/>
        </w:rPr>
        <w:instrText xml:space="preserve"> ADDIN EN.CITE &lt;EndNote&gt;&lt;Cite&gt;&lt;Author&gt;De Stefano&lt;/Author&gt;&lt;Year&gt;2010&lt;/Year&gt;&lt;RecNum&gt;331&lt;/RecNum&gt;&lt;DisplayText&gt;(94)&lt;/DisplayText&gt;&lt;record&gt;&lt;rec-number&gt;331&lt;/rec-number&gt;&lt;foreign-keys&gt;&lt;key app="EN" db-id="e9599aspizr5wce0e5e525zxzawvf0wprt09" timestamp="1424956734"&gt;331&lt;/key&gt;&lt;/foreign-keys&gt;&lt;ref-type name="Journal Article"&gt;17&lt;/ref-type&gt;&lt;contributors&gt;&lt;authors&gt;&lt;author&gt;De Stefano, N.&lt;/author&gt;&lt;author&gt;Curtin, F.&lt;/author&gt;&lt;author&gt;Stubinski, B.&lt;/author&gt;&lt;author&gt;Blevins, G.&lt;/author&gt;&lt;author&gt;Drulovic, J.&lt;/author&gt;&lt;author&gt;Issard, D.&lt;/author&gt;&lt;author&gt;Shotekov, P.&lt;/author&gt;&lt;author&gt;Gasperini, C.&lt;/author&gt;&lt;/authors&gt;&lt;/contributors&gt;&lt;auth-address&gt;(De Stefano) Department of Neurological and Behavioral Sciences, University of Siena, Viale Bracci 2, 53100 Siena, Italy (Curtin, Stubinski, Issard) Merck Serono S.A., Geneva, Switzerland (Curtin, Stubinski, Issard) Merck KGaA, Darmstadt, Germany (Blevins) Division of Neurology, University of Alberta, Edmonton, Canada (Drulovic) Clinical Center of Serbia, Institute of Neurology, University of Belgrade, Belgrade, Serbia (Shotekov) UMBAL &amp;apos;Alexandovska &amp;apos;, Clinic of Neurology, Sofia, Bulgaria (Gasperini) San Camillo-Forlanini Hospital, Rome, Italy&lt;/auth-address&gt;&lt;titles&gt;&lt;title&gt;Rapid benefits of a new formulation of subcutaneous interferon beta-1a in relapsing-remitting multiple sclerosis&lt;/title&gt;&lt;secondary-title&gt;Multiple Sclerosis&lt;/secondary-title&gt;&lt;/titles&gt;&lt;periodical&gt;&lt;full-title&gt;Multiple Sclerosis&lt;/full-title&gt;&lt;abbr-1&gt;Mult. Scler.&lt;/abbr-1&gt;&lt;abbr-2&gt;Mult Scler&lt;/abbr-2&gt;&lt;/periodical&gt;&lt;pages&gt;888-892&lt;/pages&gt;&lt;volume&gt;16&lt;/volume&gt;&lt;number&gt;7&lt;/number&gt;&lt;dates&gt;&lt;year&gt;2010&lt;/year&gt;&lt;pub-dates&gt;&lt;date&gt;July&lt;/date&gt;&lt;/pub-dates&gt;&lt;/dates&gt;&lt;accession-num&gt;2010411029&lt;/accession-num&gt;&lt;urls&gt;&lt;related-urls&gt;&lt;url&gt;http://ovidsp.ovid.com/ovidweb.cgi?T=JS&amp;amp;CSC=Y&amp;amp;NEWS=N&amp;amp;PAGE=fulltext&amp;amp;D=emed9&amp;amp;AN=2010411029&lt;/url&gt;&lt;/related-urls&gt;&lt;/urls&gt;&lt;custom1&gt;RCTs_from_Khai_report&lt;/custom1&gt;&lt;custom5&gt; &lt;/custom5&gt;&lt;remote-database-name&gt;Embase&lt;/remote-database-name&gt;&lt;remote-database-provider&gt;Ovid Technologies&lt;/remote-database-provider&gt;&lt;/record&gt;&lt;/Cite&gt;&lt;/EndNote&gt;</w:instrText>
      </w:r>
      <w:r w:rsidR="00204467" w:rsidRPr="00F7606D">
        <w:rPr>
          <w:lang w:val="en-GB"/>
        </w:rPr>
        <w:fldChar w:fldCharType="separate"/>
      </w:r>
      <w:r>
        <w:rPr>
          <w:noProof/>
          <w:lang w:val="en-GB"/>
        </w:rPr>
        <w:t>(</w:t>
      </w:r>
      <w:r w:rsidR="00852BF9">
        <w:rPr>
          <w:noProof/>
          <w:lang w:val="en-GB"/>
        </w:rPr>
        <w:t>2010</w:t>
      </w:r>
      <w:r>
        <w:rPr>
          <w:noProof/>
          <w:lang w:val="en-GB"/>
        </w:rPr>
        <w:t>)</w:t>
      </w:r>
      <w:r w:rsidR="00204467" w:rsidRPr="00F7606D">
        <w:rPr>
          <w:lang w:val="en-GB"/>
        </w:rPr>
        <w:fldChar w:fldCharType="end"/>
      </w:r>
      <w:r w:rsidRPr="00F7606D">
        <w:rPr>
          <w:lang w:val="en-GB"/>
        </w:rPr>
        <w:t xml:space="preserve">, included in </w:t>
      </w:r>
      <w:r w:rsidR="00663354">
        <w:rPr>
          <w:lang w:val="en-GB"/>
        </w:rPr>
        <w:t>Tran</w:t>
      </w:r>
      <w:r w:rsidRPr="00F7606D">
        <w:rPr>
          <w:lang w:val="en-GB"/>
        </w:rPr>
        <w:t xml:space="preserve"> et al. </w:t>
      </w:r>
      <w:r w:rsidR="00204467" w:rsidRPr="00F7606D">
        <w:rPr>
          <w:lang w:val="en-GB"/>
        </w:rPr>
        <w:fldChar w:fldCharType="begin"/>
      </w:r>
      <w:r w:rsidR="00852BF9"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00852BF9" w:rsidRPr="00F7606D">
        <w:rPr>
          <w:noProof/>
          <w:lang w:val="en-GB"/>
        </w:rPr>
        <w:t>(</w:t>
      </w:r>
      <w:r w:rsidR="00852BF9">
        <w:rPr>
          <w:noProof/>
          <w:lang w:val="en-GB"/>
        </w:rPr>
        <w:t>2013</w:t>
      </w:r>
      <w:r w:rsidR="00852BF9" w:rsidRPr="00F7606D">
        <w:rPr>
          <w:noProof/>
          <w:lang w:val="en-GB"/>
        </w:rPr>
        <w:t>)</w:t>
      </w:r>
      <w:r w:rsidR="00204467" w:rsidRPr="00F7606D">
        <w:rPr>
          <w:lang w:val="en-GB"/>
        </w:rPr>
        <w:fldChar w:fldCharType="end"/>
      </w:r>
    </w:p>
    <w:p w:rsidR="00EA7D99" w:rsidRPr="00075AF4" w:rsidRDefault="00EA7D99" w:rsidP="00EA7D99"/>
    <w:tbl>
      <w:tblPr>
        <w:tblStyle w:val="afff"/>
        <w:tblW w:w="9351" w:type="dxa"/>
        <w:tblLook w:val="04A0"/>
      </w:tblPr>
      <w:tblGrid>
        <w:gridCol w:w="2687"/>
        <w:gridCol w:w="1559"/>
        <w:gridCol w:w="5105"/>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cs="AdvTimes"/>
                <w:szCs w:val="22"/>
                <w:lang w:val="en-GB" w:eastAsia="en-US"/>
              </w:rPr>
              <w:t>NCT00441103</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 xml:space="preserve">Double-blind, randomized, placebo-controlled trial, multi-centre, multi-country in European countries.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Eligibility criteria</w:t>
            </w:r>
            <w:r w:rsidRPr="00F7606D">
              <w:rPr>
                <w:rFonts w:ascii="Georgia" w:hAnsi="Georgia"/>
                <w:sz w:val="22"/>
                <w:szCs w:val="22"/>
                <w:u w:val="single"/>
                <w:lang w:val="en-GB"/>
              </w:rPr>
              <w:t>:</w:t>
            </w:r>
            <w:r w:rsidRPr="00F7606D">
              <w:rPr>
                <w:rFonts w:ascii="Georgia" w:hAnsi="Georgia"/>
                <w:sz w:val="22"/>
                <w:szCs w:val="22"/>
                <w:lang w:val="en-GB"/>
              </w:rPr>
              <w:t xml:space="preserve"> Age = 18 years to 60 years, diagnosis of RRMS (McDonald criteria), EDSS = 0 to 5.5; active disease (≥ 1 clinical event and ≥ 1 gadolinium-enhancing MRI lesion) within the 6 months period before randomization.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Exclusion criteria</w:t>
            </w:r>
            <w:r w:rsidRPr="00F7606D">
              <w:rPr>
                <w:szCs w:val="22"/>
                <w:u w:val="single"/>
                <w:lang w:val="en-GB"/>
              </w:rPr>
              <w:t>:</w:t>
            </w:r>
            <w:r w:rsidRPr="00F7606D">
              <w:rPr>
                <w:szCs w:val="22"/>
                <w:lang w:val="en-GB"/>
              </w:rPr>
              <w:t xml:space="preserve"> Not specified.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szCs w:val="22"/>
                <w:u w:val="single"/>
                <w:lang w:val="en-GB"/>
              </w:rPr>
              <w:t>Baseline characteristics:</w:t>
            </w:r>
            <w:r w:rsidRPr="00F7606D">
              <w:rPr>
                <w:rFonts w:eastAsiaTheme="minorHAnsi" w:cs="AdvP641C"/>
                <w:szCs w:val="22"/>
                <w:lang w:val="en-GB" w:eastAsia="en-US"/>
              </w:rPr>
              <w:t xml:space="preserve"> Not reported</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 xml:space="preserve">Interferon beta-1a 44 mcg SC t.i.w. </w:t>
            </w:r>
            <w:r w:rsidRPr="00B4105F">
              <w:rPr>
                <w:rFonts w:ascii="Georgia" w:hAnsi="Georgia"/>
                <w:sz w:val="22"/>
                <w:szCs w:val="22"/>
                <w:lang w:val="pt-PT"/>
              </w:rPr>
              <w:t xml:space="preserve">(n = 120)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bCs/>
                <w:sz w:val="22"/>
                <w:szCs w:val="22"/>
                <w:lang w:val="en-GB"/>
              </w:rPr>
              <w:t xml:space="preserve">Placebo </w:t>
            </w:r>
            <w:r w:rsidRPr="00F7606D">
              <w:rPr>
                <w:rFonts w:ascii="Georgia" w:hAnsi="Georgia"/>
                <w:sz w:val="22"/>
                <w:szCs w:val="22"/>
                <w:lang w:val="en-GB"/>
              </w:rPr>
              <w:t xml:space="preserve">(n = 60)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w:t>
            </w:r>
            <w:r w:rsidRPr="00F7606D">
              <w:rPr>
                <w:rFonts w:ascii="Georgia" w:hAnsi="Georgia"/>
                <w:sz w:val="22"/>
                <w:szCs w:val="22"/>
                <w:u w:val="single"/>
                <w:lang w:val="en-GB"/>
              </w:rPr>
              <w:t>:</w:t>
            </w:r>
            <w:r w:rsidRPr="00F7606D">
              <w:rPr>
                <w:rFonts w:ascii="Georgia" w:hAnsi="Georgia"/>
                <w:sz w:val="22"/>
                <w:szCs w:val="22"/>
                <w:lang w:val="en-GB"/>
              </w:rPr>
              <w:t xml:space="preserve"> Number of combined unique active MRI brain lesions at week 16.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Secondary endpoints</w:t>
            </w:r>
            <w:r w:rsidRPr="00F7606D">
              <w:rPr>
                <w:szCs w:val="22"/>
                <w:lang w:val="en-GB"/>
              </w:rPr>
              <w:t xml:space="preserve">: Number of combined unique active lesions/patient/scan, other MRI outcomes, relapse rate.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16 weeks</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autoSpaceDE w:val="0"/>
              <w:autoSpaceDN w:val="0"/>
              <w:adjustRightInd w:val="0"/>
              <w:spacing w:line="240" w:lineRule="auto"/>
              <w:contextualSpacing/>
              <w:jc w:val="both"/>
              <w:rPr>
                <w:rFonts w:cs="TimesNewRomanPSMT"/>
                <w:szCs w:val="22"/>
                <w:lang w:val="en-GB"/>
              </w:rPr>
            </w:pPr>
            <w:r w:rsidRPr="00F7606D">
              <w:rPr>
                <w:rFonts w:cs="TimesNewRomanPSMT"/>
                <w:szCs w:val="22"/>
                <w:lang w:val="en-GB"/>
              </w:rPr>
              <w:t>Unclear (inadequate information to characterise)</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Comments</w:t>
            </w:r>
          </w:p>
        </w:tc>
        <w:tc>
          <w:tcPr>
            <w:tcW w:w="6664"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tabs>
                <w:tab w:val="clear" w:pos="510"/>
              </w:tabs>
              <w:autoSpaceDE w:val="0"/>
              <w:autoSpaceDN w:val="0"/>
              <w:adjustRightInd w:val="0"/>
              <w:spacing w:line="240" w:lineRule="auto"/>
              <w:contextualSpacing/>
              <w:rPr>
                <w:rFonts w:eastAsiaTheme="minorHAnsi" w:cs="AdvTimes"/>
                <w:szCs w:val="22"/>
                <w:lang w:val="en-GB" w:eastAsia="en-US"/>
              </w:rPr>
            </w:pPr>
            <w:r w:rsidRPr="00F7606D">
              <w:rPr>
                <w:rFonts w:eastAsiaTheme="minorHAnsi" w:cs="AdvTimes"/>
                <w:szCs w:val="22"/>
                <w:lang w:val="en-GB" w:eastAsia="en-US"/>
              </w:rPr>
              <w:t xml:space="preserve">Double-blind phase:16 weeks. After that, patients received </w:t>
            </w:r>
            <w:r w:rsidRPr="00F7606D">
              <w:rPr>
                <w:bCs/>
                <w:szCs w:val="22"/>
                <w:lang w:val="en-GB"/>
              </w:rPr>
              <w:t>Interferon beta-1a</w:t>
            </w:r>
            <w:r w:rsidRPr="00F7606D">
              <w:rPr>
                <w:rFonts w:eastAsiaTheme="minorHAnsi" w:cs="AdvTimes"/>
                <w:szCs w:val="22"/>
                <w:lang w:val="en-GB" w:eastAsia="en-US"/>
              </w:rPr>
              <w:t xml:space="preserve">, 44 </w:t>
            </w:r>
            <w:r w:rsidRPr="00F7606D">
              <w:rPr>
                <w:rFonts w:eastAsiaTheme="minorHAnsi" w:cs="AdvP4BCB5F"/>
                <w:szCs w:val="22"/>
                <w:lang w:val="en-GB" w:eastAsia="en-US"/>
              </w:rPr>
              <w:t>m</w:t>
            </w:r>
            <w:r w:rsidRPr="00F7606D">
              <w:rPr>
                <w:rFonts w:eastAsiaTheme="minorHAnsi" w:cs="AdvTimes"/>
                <w:szCs w:val="22"/>
                <w:lang w:val="en-GB" w:eastAsia="en-US"/>
              </w:rPr>
              <w:t>g sc tiw, for 24 weeks (rater-blind phase).</w:t>
            </w:r>
          </w:p>
          <w:p w:rsidR="00EA7D99" w:rsidRPr="00F7606D" w:rsidRDefault="00EA7D99" w:rsidP="00EA7D99">
            <w:pPr>
              <w:tabs>
                <w:tab w:val="clear" w:pos="510"/>
              </w:tabs>
              <w:autoSpaceDE w:val="0"/>
              <w:autoSpaceDN w:val="0"/>
              <w:adjustRightInd w:val="0"/>
              <w:spacing w:line="240" w:lineRule="auto"/>
              <w:contextualSpacing/>
              <w:rPr>
                <w:lang w:val="en-GB"/>
              </w:rPr>
            </w:pPr>
            <w:r w:rsidRPr="00F7606D">
              <w:rPr>
                <w:rFonts w:eastAsiaTheme="minorHAnsi" w:cs="AdvTimes"/>
                <w:szCs w:val="22"/>
                <w:lang w:val="en-GB" w:eastAsia="en-US"/>
              </w:rPr>
              <w:t>The analysis populations for the rater-blind period comprised patients who completed treatment during the double-blind period (</w:t>
            </w:r>
            <w:r w:rsidRPr="00F7606D">
              <w:rPr>
                <w:bCs/>
                <w:szCs w:val="22"/>
                <w:lang w:val="en-GB"/>
              </w:rPr>
              <w:t>Interferon beta-1a</w:t>
            </w:r>
            <w:r w:rsidRPr="00F7606D">
              <w:rPr>
                <w:rFonts w:eastAsiaTheme="minorHAnsi" w:cs="AdvTimes"/>
                <w:szCs w:val="22"/>
                <w:lang w:val="en-GB" w:eastAsia="en-US"/>
              </w:rPr>
              <w:t xml:space="preserve">, </w:t>
            </w:r>
            <w:r w:rsidRPr="00F7606D">
              <w:rPr>
                <w:rFonts w:eastAsiaTheme="minorHAnsi" w:cs="AdvTimes-i"/>
                <w:szCs w:val="22"/>
                <w:lang w:val="en-GB" w:eastAsia="en-US"/>
              </w:rPr>
              <w:t>n=</w:t>
            </w:r>
            <w:r w:rsidRPr="00F7606D">
              <w:rPr>
                <w:rFonts w:eastAsiaTheme="minorHAnsi" w:cs="AdvTimes"/>
                <w:szCs w:val="22"/>
                <w:lang w:val="en-GB" w:eastAsia="en-US"/>
              </w:rPr>
              <w:t>12; placebo,</w:t>
            </w:r>
            <w:r w:rsidRPr="00F7606D">
              <w:rPr>
                <w:rFonts w:eastAsiaTheme="minorHAnsi" w:cs="AdvTimes-i"/>
                <w:szCs w:val="22"/>
                <w:lang w:val="en-GB" w:eastAsia="en-US"/>
              </w:rPr>
              <w:t>n</w:t>
            </w:r>
            <w:r w:rsidRPr="00F7606D">
              <w:rPr>
                <w:rFonts w:eastAsiaTheme="minorHAnsi" w:cs="AdvMT_SY"/>
                <w:szCs w:val="22"/>
                <w:lang w:val="en-GB" w:eastAsia="en-US"/>
              </w:rPr>
              <w:t>=</w:t>
            </w:r>
            <w:r w:rsidRPr="00F7606D">
              <w:rPr>
                <w:rFonts w:eastAsiaTheme="minorHAnsi" w:cs="AdvTimes"/>
                <w:szCs w:val="22"/>
                <w:lang w:val="en-GB" w:eastAsia="en-US"/>
              </w:rPr>
              <w:t>57).</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Randomization</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Insufficient reporting</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Allocation concealment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Not reporting</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Double-blinding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Baseline characteristic similarity</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Not reporting</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 measures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Withdrawals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 xml:space="preserve">Not reporting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ITT Analysis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Funding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Manufacturer</w:t>
            </w:r>
          </w:p>
        </w:tc>
      </w:tr>
    </w:tbl>
    <w:p w:rsidR="00EA7D99" w:rsidRPr="00F7606D" w:rsidRDefault="00EA7D99" w:rsidP="00EA7D99">
      <w:pPr>
        <w:spacing w:line="240" w:lineRule="auto"/>
        <w:contextualSpacing/>
        <w:jc w:val="both"/>
      </w:pPr>
    </w:p>
    <w:p w:rsidR="00EA7D99" w:rsidRPr="00F7606D" w:rsidRDefault="00EA7D99" w:rsidP="00EA7D99">
      <w:pPr>
        <w:spacing w:after="160" w:line="240" w:lineRule="auto"/>
        <w:contextualSpacing/>
      </w:pPr>
    </w:p>
    <w:p w:rsidR="00EA7D99" w:rsidRPr="00F7606D" w:rsidRDefault="00EA7D99" w:rsidP="00EA7D99">
      <w:pPr>
        <w:pStyle w:val="31"/>
        <w:spacing w:line="240" w:lineRule="auto"/>
        <w:contextualSpacing/>
        <w:jc w:val="both"/>
        <w:rPr>
          <w:szCs w:val="22"/>
          <w:lang w:val="en-GB"/>
        </w:rPr>
      </w:pPr>
      <w:r w:rsidRPr="00F7606D">
        <w:rPr>
          <w:szCs w:val="22"/>
          <w:lang w:val="en-GB"/>
        </w:rPr>
        <w:t>Interferon beta 1b (sc)</w:t>
      </w:r>
    </w:p>
    <w:p w:rsidR="00EA7D99" w:rsidRDefault="00EA7D99" w:rsidP="004B4975">
      <w:pPr>
        <w:pStyle w:val="41"/>
        <w:numPr>
          <w:ilvl w:val="0"/>
          <w:numId w:val="0"/>
        </w:numPr>
        <w:spacing w:line="240" w:lineRule="auto"/>
        <w:contextualSpacing/>
        <w:jc w:val="both"/>
        <w:rPr>
          <w:szCs w:val="22"/>
          <w:lang w:val="en-GB"/>
        </w:rPr>
      </w:pPr>
      <w:r w:rsidRPr="00F7606D">
        <w:rPr>
          <w:szCs w:val="22"/>
          <w:lang w:val="en-GB"/>
        </w:rPr>
        <w:t xml:space="preserve">IFNB-MS 1993, included in </w:t>
      </w:r>
      <w:r w:rsidR="00663354">
        <w:rPr>
          <w:szCs w:val="22"/>
          <w:lang w:val="en-GB"/>
        </w:rPr>
        <w:t>Tran</w:t>
      </w:r>
      <w:r w:rsidRPr="00F7606D">
        <w:rPr>
          <w:szCs w:val="22"/>
          <w:lang w:val="en-GB"/>
        </w:rPr>
        <w:t xml:space="preserve"> et al.  </w:t>
      </w:r>
      <w:r w:rsidR="00204467" w:rsidRPr="00F7606D">
        <w:rPr>
          <w:lang w:val="en-GB"/>
        </w:rPr>
        <w:fldChar w:fldCharType="begin"/>
      </w:r>
      <w:r w:rsidR="00852BF9" w:rsidRPr="00F7606D">
        <w:rPr>
          <w:lang w:val="en-GB"/>
        </w:rPr>
        <w:instrText xml:space="preserve"> ADDIN EN.CITE &lt;EndNote&gt;&lt;Cite&gt;&lt;Author&gt;Tran&lt;/Author&gt;&lt;Year&gt;2013&lt;/Year&gt;&lt;RecNum&gt;2517&lt;/RecNum&gt;&lt;DisplayText&gt;(27)&lt;/DisplayText&gt;&lt;record&gt;&lt;rec-number&gt;2517&lt;/rec-number&gt;&lt;foreign-keys&gt;&lt;key app="EN" db-id="e9599aspizr5wce0e5e525zxzawvf0wprt09" timestamp="1424963005"&gt;2517&lt;/key&gt;&lt;/foreign-keys&gt;&lt;ref-type name="Web Page"&gt;12&lt;/ref-type&gt;&lt;contributors&gt;&lt;authors&gt;&lt;author&gt;Tran, Khai. et al.&lt;/author&gt;&lt;/authors&gt;&lt;/contributors&gt;&lt;titles&gt;&lt;title&gt;Comparative clinical and cost effectiveness of drug therapies for relapsing-remitting multiple sclerosis&lt;/title&gt;&lt;/titles&gt;&lt;number&gt;20.02.2015&lt;/number&gt;&lt;dates&gt;&lt;year&gt;2013&lt;/year&gt;&lt;pub-dates&gt;&lt;date&gt;02 January 2013&lt;/date&gt;&lt;/pub-dates&gt;&lt;/dates&gt;&lt;publisher&gt;PROSPERO/ CADTH&lt;/publisher&gt;&lt;urls&gt;&lt;related-urls&gt;&lt;url&gt;http://www.cadth.ca/media/pdf/TR0004_RRMS_ScienceReport_e.pdf&lt;/url&gt;&lt;/related-urls&gt;&lt;/urls&gt;&lt;custom1&gt;search_SR_HTA&lt;/custom1&gt;&lt;custom2&gt;abstract_selected_SR_HTA&lt;/custom2&gt;&lt;custom3&gt;full_text_read_for_selection_of_SR_HTA&lt;/custom3&gt;&lt;custom4&gt;SR_HTA_included_in_report&lt;/custom4&gt;&lt;custom5&gt; &lt;/custom5&gt;&lt;remote-database-name&gt;PROSPERO&lt;/remote-database-name&gt;&lt;/record&gt;&lt;/Cite&gt;&lt;/EndNote&gt;</w:instrText>
      </w:r>
      <w:r w:rsidR="00204467" w:rsidRPr="00F7606D">
        <w:rPr>
          <w:lang w:val="en-GB"/>
        </w:rPr>
        <w:fldChar w:fldCharType="separate"/>
      </w:r>
      <w:r w:rsidR="00852BF9" w:rsidRPr="00F7606D">
        <w:rPr>
          <w:noProof/>
          <w:lang w:val="en-GB"/>
        </w:rPr>
        <w:t>(</w:t>
      </w:r>
      <w:r w:rsidR="00852BF9">
        <w:rPr>
          <w:noProof/>
          <w:lang w:val="en-GB"/>
        </w:rPr>
        <w:t>2013</w:t>
      </w:r>
      <w:r w:rsidR="00852BF9" w:rsidRPr="00F7606D">
        <w:rPr>
          <w:noProof/>
          <w:lang w:val="en-GB"/>
        </w:rPr>
        <w:t>)</w:t>
      </w:r>
      <w:r w:rsidR="00204467" w:rsidRPr="00F7606D">
        <w:rPr>
          <w:lang w:val="en-GB"/>
        </w:rPr>
        <w:fldChar w:fldCharType="end"/>
      </w:r>
    </w:p>
    <w:p w:rsidR="00EA7D99" w:rsidRPr="00075AF4" w:rsidRDefault="00EA7D99" w:rsidP="00EA7D99"/>
    <w:tbl>
      <w:tblPr>
        <w:tblStyle w:val="afff"/>
        <w:tblW w:w="9351" w:type="dxa"/>
        <w:tblLook w:val="04A0"/>
      </w:tblPr>
      <w:tblGrid>
        <w:gridCol w:w="2687"/>
        <w:gridCol w:w="1559"/>
        <w:gridCol w:w="5105"/>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Not reported</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szCs w:val="22"/>
                <w:lang w:val="en-GB"/>
              </w:rPr>
              <w:t xml:space="preserve">Randomized, placebo-controlled trial </w:t>
            </w:r>
            <w:r w:rsidRPr="00F7606D">
              <w:rPr>
                <w:rFonts w:eastAsiaTheme="minorHAnsi"/>
                <w:szCs w:val="22"/>
                <w:lang w:val="en-GB" w:eastAsia="en-US"/>
              </w:rPr>
              <w:t xml:space="preserve">Multi-centre </w:t>
            </w:r>
            <w:r w:rsidRPr="00F7606D">
              <w:rPr>
                <w:szCs w:val="22"/>
                <w:lang w:val="en-GB"/>
              </w:rPr>
              <w:t xml:space="preserve">Canada and the US.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Eligibility criteria</w:t>
            </w:r>
            <w:r w:rsidRPr="00F7606D">
              <w:rPr>
                <w:rFonts w:ascii="Georgia" w:hAnsi="Georgia"/>
                <w:sz w:val="22"/>
                <w:szCs w:val="22"/>
                <w:u w:val="single"/>
                <w:lang w:val="en-GB"/>
              </w:rPr>
              <w:t>:</w:t>
            </w:r>
            <w:r w:rsidRPr="00F7606D">
              <w:rPr>
                <w:rFonts w:ascii="Georgia" w:hAnsi="Georgia"/>
                <w:sz w:val="22"/>
                <w:szCs w:val="22"/>
                <w:lang w:val="en-GB"/>
              </w:rPr>
              <w:t xml:space="preserve"> Age = 18 years to 50 years, diagnosis of RRMS (McDonald criteria), EDSS = 0 to 5.5; had ≥ 2 exacerbations during the previous 2 years; clinically stable for at least 30 days before entry and received no adrenocorticotrophic hormone or prednisone during this period. </w:t>
            </w: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Key exclusion criteria</w:t>
            </w:r>
            <w:r w:rsidRPr="00F7606D">
              <w:rPr>
                <w:rFonts w:ascii="Georgia" w:hAnsi="Georgia"/>
                <w:sz w:val="22"/>
                <w:szCs w:val="22"/>
                <w:u w:val="single"/>
                <w:lang w:val="en-GB"/>
              </w:rPr>
              <w:t>:</w:t>
            </w:r>
            <w:r w:rsidRPr="00F7606D">
              <w:rPr>
                <w:rFonts w:ascii="Georgia" w:hAnsi="Georgia"/>
                <w:sz w:val="22"/>
                <w:szCs w:val="22"/>
                <w:lang w:val="en-GB"/>
              </w:rPr>
              <w:t xml:space="preserve"> Prior treatment with azathioprine or cyclophosphamide.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P641C"/>
                <w:szCs w:val="22"/>
                <w:u w:val="single"/>
                <w:lang w:val="en-GB" w:eastAsia="en-US"/>
              </w:rPr>
              <w:t>Baseline characteristics:</w:t>
            </w:r>
            <w:r w:rsidRPr="00F7606D">
              <w:rPr>
                <w:rFonts w:eastAsiaTheme="minorHAnsi" w:cs="AdvP641C"/>
                <w:szCs w:val="22"/>
                <w:lang w:val="en-GB" w:eastAsia="en-US"/>
              </w:rPr>
              <w:t xml:space="preserve"> Age 35+/-7; 70% female; EDSS 2,9+/-1,1</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bCs/>
                <w:sz w:val="22"/>
                <w:szCs w:val="22"/>
                <w:lang w:val="en-GB"/>
              </w:rPr>
              <w:t xml:space="preserve">Interferon beta-1b 250 mcg SC every other day </w:t>
            </w:r>
            <w:r w:rsidRPr="00F7606D">
              <w:rPr>
                <w:rFonts w:ascii="Georgia" w:hAnsi="Georgia"/>
                <w:sz w:val="22"/>
                <w:szCs w:val="22"/>
                <w:lang w:val="en-GB"/>
              </w:rPr>
              <w:t xml:space="preserve">(n = 124) </w:t>
            </w: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bCs/>
                <w:sz w:val="22"/>
                <w:szCs w:val="22"/>
                <w:lang w:val="en-GB"/>
              </w:rPr>
              <w:t>Interferon beta-1b 50 mcg SC every other day (n=125)</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bCs/>
                <w:szCs w:val="22"/>
                <w:lang w:val="en-GB"/>
              </w:rPr>
              <w:t xml:space="preserve">Placebo </w:t>
            </w:r>
            <w:r w:rsidRPr="00F7606D">
              <w:rPr>
                <w:szCs w:val="22"/>
                <w:lang w:val="en-GB"/>
              </w:rPr>
              <w:t xml:space="preserve">(n = 123) </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endpoints</w:t>
            </w:r>
            <w:r w:rsidRPr="00F7606D">
              <w:rPr>
                <w:rFonts w:ascii="Georgia" w:hAnsi="Georgia"/>
                <w:sz w:val="22"/>
                <w:szCs w:val="22"/>
                <w:u w:val="single"/>
                <w:lang w:val="en-GB"/>
              </w:rPr>
              <w:t>:</w:t>
            </w:r>
            <w:r w:rsidRPr="00F7606D">
              <w:rPr>
                <w:rFonts w:ascii="Georgia" w:hAnsi="Georgia"/>
                <w:sz w:val="22"/>
                <w:szCs w:val="22"/>
                <w:lang w:val="en-GB"/>
              </w:rPr>
              <w:t xml:space="preserve"> Annualized relapse rate, proportion of relapse-free patients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Secondary endpoints</w:t>
            </w:r>
            <w:r w:rsidRPr="00F7606D">
              <w:rPr>
                <w:szCs w:val="22"/>
                <w:u w:val="single"/>
                <w:lang w:val="en-GB"/>
              </w:rPr>
              <w:t>:</w:t>
            </w:r>
            <w:r w:rsidRPr="00F7606D">
              <w:rPr>
                <w:szCs w:val="22"/>
                <w:lang w:val="en-GB"/>
              </w:rPr>
              <w:t xml:space="preserve"> Time to first relapse, relapse duration and severity, change in EDSS, MRI outcomes. </w:t>
            </w:r>
          </w:p>
          <w:p w:rsidR="00EA7D99" w:rsidRPr="00F7606D" w:rsidRDefault="00EA7D99" w:rsidP="00EA7D99">
            <w:pPr>
              <w:pStyle w:val="Default"/>
              <w:contextualSpacing/>
              <w:jc w:val="both"/>
              <w:rPr>
                <w:rFonts w:ascii="Georgia" w:hAnsi="Georgia"/>
                <w:i/>
                <w:iCs/>
                <w:sz w:val="22"/>
                <w:szCs w:val="22"/>
                <w:lang w:val="en-GB"/>
              </w:rPr>
            </w:pP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szCs w:val="22"/>
                <w:u w:val="single"/>
                <w:lang w:val="en-GB"/>
              </w:rPr>
              <w:t>Definitions  used for endpoints:</w:t>
            </w:r>
            <w:r w:rsidRPr="00F7606D">
              <w:rPr>
                <w:szCs w:val="22"/>
                <w:lang w:val="en-GB"/>
              </w:rPr>
              <w:t xml:space="preserve"> </w:t>
            </w:r>
            <w:r w:rsidRPr="00F7606D">
              <w:rPr>
                <w:i/>
                <w:iCs/>
                <w:szCs w:val="22"/>
                <w:u w:val="single"/>
                <w:lang w:val="en-GB"/>
              </w:rPr>
              <w:t>Relapses</w:t>
            </w:r>
            <w:r w:rsidRPr="00F7606D">
              <w:rPr>
                <w:szCs w:val="22"/>
                <w:u w:val="single"/>
                <w:lang w:val="en-GB"/>
              </w:rPr>
              <w:t>:</w:t>
            </w:r>
            <w:r w:rsidRPr="00F7606D">
              <w:rPr>
                <w:szCs w:val="22"/>
                <w:lang w:val="en-GB"/>
              </w:rPr>
              <w:t xml:space="preserve"> The appearance of a new symptoms or worsening of an old symptom, attributable to MS; accompanied by an appropriate new neurologic abnormality; lasting at least 24 hours in the absence of fever; and preceded by stability or improvement for at least 30 days.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i/>
                <w:iCs/>
                <w:szCs w:val="22"/>
                <w:u w:val="single"/>
                <w:lang w:val="en-GB"/>
              </w:rPr>
              <w:t>Disability progression</w:t>
            </w:r>
            <w:r w:rsidRPr="00F7606D">
              <w:rPr>
                <w:szCs w:val="22"/>
                <w:u w:val="single"/>
                <w:lang w:val="en-GB"/>
              </w:rPr>
              <w:t>:</w:t>
            </w:r>
            <w:r w:rsidRPr="00F7606D">
              <w:rPr>
                <w:szCs w:val="22"/>
                <w:lang w:val="en-GB"/>
              </w:rPr>
              <w:t xml:space="preserve"> A patient was considered to have progression in disability when there was a persistent increase of 1 or more EDSS points confirmed on two consecutive evaluations separated by at least 3 months.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3 years</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 xml:space="preserve">Treatment-naive (based on year of study and clinical expert input). </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Randomization</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Insufficient reporting</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Allocation concealment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Not reporting</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Double-blinding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Baseline characteristic similarity</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 measures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Withdrawals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33%</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ITT Analysis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Funding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Not reporting</w:t>
            </w:r>
          </w:p>
        </w:tc>
      </w:tr>
    </w:tbl>
    <w:p w:rsidR="00EA7D99" w:rsidRPr="00F7606D" w:rsidRDefault="00EA7D99" w:rsidP="00EA7D99">
      <w:pPr>
        <w:spacing w:line="240" w:lineRule="auto"/>
        <w:contextualSpacing/>
        <w:jc w:val="both"/>
      </w:pPr>
    </w:p>
    <w:p w:rsidR="00EA7D99" w:rsidRPr="00F7606D" w:rsidRDefault="00EA7D99" w:rsidP="00EA7D99">
      <w:pPr>
        <w:spacing w:after="160" w:line="240" w:lineRule="auto"/>
        <w:contextualSpacing/>
      </w:pPr>
    </w:p>
    <w:p w:rsidR="00EA7D99" w:rsidRDefault="00EA7D99" w:rsidP="004B4975">
      <w:pPr>
        <w:pStyle w:val="41"/>
        <w:numPr>
          <w:ilvl w:val="0"/>
          <w:numId w:val="0"/>
        </w:numPr>
        <w:spacing w:line="240" w:lineRule="auto"/>
        <w:contextualSpacing/>
        <w:jc w:val="both"/>
        <w:rPr>
          <w:szCs w:val="22"/>
          <w:lang w:val="en-GB"/>
        </w:rPr>
      </w:pPr>
      <w:r w:rsidRPr="00F7606D">
        <w:rPr>
          <w:szCs w:val="22"/>
          <w:lang w:val="en-GB"/>
        </w:rPr>
        <w:t xml:space="preserve">Etemadifar et al., </w:t>
      </w:r>
      <w:r w:rsidR="00852BF9">
        <w:rPr>
          <w:szCs w:val="22"/>
          <w:lang w:val="en-GB"/>
        </w:rPr>
        <w:t>(</w:t>
      </w:r>
      <w:r w:rsidRPr="00F7606D">
        <w:rPr>
          <w:szCs w:val="22"/>
          <w:lang w:val="en-GB"/>
        </w:rPr>
        <w:t>2006</w:t>
      </w:r>
      <w:r w:rsidR="00204467" w:rsidRPr="00F7606D">
        <w:rPr>
          <w:szCs w:val="22"/>
          <w:lang w:val="en-GB"/>
        </w:rPr>
        <w:fldChar w:fldCharType="begin"/>
      </w:r>
      <w:r w:rsidRPr="00F7606D">
        <w:rPr>
          <w:szCs w:val="22"/>
          <w:lang w:val="en-GB"/>
        </w:rPr>
        <w:instrText xml:space="preserve"> ADDIN EN.CITE &lt;EndNote&gt;&lt;Cite&gt;&lt;Author&gt;Etemadifar&lt;/Author&gt;&lt;Year&gt;2006&lt;/Year&gt;&lt;RecNum&gt;2564&lt;/RecNum&gt;&lt;DisplayText&gt;(58)&lt;/DisplayText&gt;&lt;record&gt;&lt;rec-number&gt;2564&lt;/rec-number&gt;&lt;foreign-keys&gt;&lt;key app="EN" db-id="e9599aspizr5wce0e5e525zxzawvf0wprt09" timestamp="1431162052"&gt;2564&lt;/key&gt;&lt;/foreign-keys&gt;&lt;ref-type name="Journal Article"&gt;17&lt;/ref-type&gt;&lt;contributors&gt;&lt;authors&gt;&lt;author&gt;Etemadifar, M.&lt;/author&gt;&lt;author&gt;Janghorbani, M.&lt;/author&gt;&lt;author&gt;Shaygannejad, V.&lt;/author&gt;&lt;/authors&gt;&lt;/contributors&gt;&lt;titles&gt;&lt;title&gt;Comparison of Betaferon, Avonex, and Rebif in treatment of relapsing-remitting multiple sclerosis&lt;/title&gt;&lt;secondary-title&gt;Acta Neurol Scand.&lt;/secondary-title&gt;&lt;/titles&gt;&lt;periodical&gt;&lt;full-title&gt;Acta Neurol Scand.&lt;/full-title&gt;&lt;/periodical&gt;&lt;pages&gt;283-7.&lt;/pages&gt;&lt;volume&gt;113&lt;/volume&gt;&lt;number&gt;5&lt;/number&gt;&lt;keywords&gt;&lt;keyword&gt;0 (Adjuvants, Immunologic)&lt;/keyword&gt;&lt;keyword&gt;145155-23-3 (interferon beta-1b)&lt;/keyword&gt;&lt;keyword&gt;145258-61-3 (interferon beta 1a)&lt;/keyword&gt;&lt;keyword&gt;77238-31-4 (Interferon-beta)&lt;/keyword&gt;&lt;keyword&gt;Adjuvants, Immunologic/administration &amp;amp; dosage/*therapeutic use&lt;/keyword&gt;&lt;keyword&gt;Adult&lt;/keyword&gt;&lt;keyword&gt;Disability Evaluation&lt;/keyword&gt;&lt;keyword&gt;Drug Administration Schedule&lt;/keyword&gt;&lt;keyword&gt;Female&lt;/keyword&gt;&lt;keyword&gt;Follow-Up Studies&lt;/keyword&gt;&lt;keyword&gt;Humans&lt;/keyword&gt;&lt;keyword&gt;Interferon-beta/administration &amp;amp; dosage/*therapeutic use&lt;/keyword&gt;&lt;keyword&gt;Male&lt;/keyword&gt;&lt;keyword&gt;Multiple Sclerosis, Relapsing-Remitting/*drug therapy&lt;/keyword&gt;&lt;keyword&gt;Single-Blind Method&lt;/keyword&gt;&lt;keyword&gt;Treatment Outcome&lt;/keyword&gt;&lt;/keywords&gt;&lt;dates&gt;&lt;year&gt;2006&lt;/year&gt;&lt;pub-dates&gt;&lt;date&gt;May&lt;/date&gt;&lt;/pub-dates&gt;&lt;/dates&gt;&lt;isbn&gt;0001-6314 (Print)&amp;#xD;0001-6314 (Linking)&lt;/isbn&gt;&lt;work-type&gt;Comparative Study&amp;#xD;Randomized Controlled Trial&lt;/work-type&gt;&lt;urls&gt;&lt;related-urls&gt;&lt;url&gt;http://onlinelibrary.wiley.com/doi/10.1111/j.1600-0404.2006.00585.x/abstract&lt;/url&gt;&lt;/related-urls&gt;&lt;/urls&gt;&lt;custom1&gt;RCTs_from_Khai_report&lt;/custom1&gt;&lt;custom5&gt; &lt;/custom5&gt;&lt;/record&gt;&lt;/Cite&gt;&lt;/EndNote&gt;</w:instrText>
      </w:r>
      <w:r w:rsidR="00204467" w:rsidRPr="00F7606D">
        <w:rPr>
          <w:szCs w:val="22"/>
          <w:lang w:val="en-GB"/>
        </w:rPr>
        <w:fldChar w:fldCharType="separate"/>
      </w:r>
      <w:r w:rsidRPr="00F7606D">
        <w:rPr>
          <w:noProof/>
          <w:szCs w:val="22"/>
          <w:lang w:val="en-GB"/>
        </w:rPr>
        <w:t>)</w:t>
      </w:r>
      <w:r w:rsidR="00204467" w:rsidRPr="00F7606D">
        <w:rPr>
          <w:szCs w:val="22"/>
          <w:lang w:val="en-GB"/>
        </w:rPr>
        <w:fldChar w:fldCharType="end"/>
      </w:r>
      <w:r w:rsidRPr="00F7606D">
        <w:rPr>
          <w:szCs w:val="22"/>
          <w:lang w:val="en-GB"/>
        </w:rPr>
        <w:t xml:space="preserve">, included in </w:t>
      </w:r>
      <w:r w:rsidR="00663354">
        <w:rPr>
          <w:szCs w:val="22"/>
          <w:lang w:val="en-GB"/>
        </w:rPr>
        <w:t>Tran</w:t>
      </w:r>
      <w:r w:rsidRPr="00F7606D">
        <w:rPr>
          <w:szCs w:val="22"/>
          <w:lang w:val="en-GB"/>
        </w:rPr>
        <w:t xml:space="preserve"> et al. </w:t>
      </w:r>
      <w:r w:rsidR="00852BF9">
        <w:rPr>
          <w:szCs w:val="22"/>
          <w:lang w:val="en-GB"/>
        </w:rPr>
        <w:t>(2013)</w:t>
      </w:r>
    </w:p>
    <w:p w:rsidR="00EA7D99" w:rsidRPr="00075AF4" w:rsidRDefault="00EA7D99" w:rsidP="00EA7D99"/>
    <w:tbl>
      <w:tblPr>
        <w:tblStyle w:val="afff"/>
        <w:tblW w:w="9351" w:type="dxa"/>
        <w:tblLook w:val="04A0"/>
      </w:tblPr>
      <w:tblGrid>
        <w:gridCol w:w="2687"/>
        <w:gridCol w:w="1559"/>
        <w:gridCol w:w="5105"/>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Not reported</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szCs w:val="22"/>
                <w:lang w:val="en-GB"/>
              </w:rPr>
              <w:t xml:space="preserve">Rater-blinded, randomized controlled trial, </w:t>
            </w:r>
            <w:r w:rsidRPr="00F7606D">
              <w:rPr>
                <w:rFonts w:eastAsiaTheme="minorHAnsi" w:cs="AdvTimes"/>
                <w:szCs w:val="22"/>
                <w:lang w:val="en-GB" w:eastAsia="en-US"/>
              </w:rPr>
              <w:t xml:space="preserve">neurology outpatient clinics </w:t>
            </w:r>
            <w:r w:rsidRPr="00F7606D">
              <w:rPr>
                <w:szCs w:val="22"/>
                <w:lang w:val="en-GB"/>
              </w:rPr>
              <w:t>in Iran</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Eligibility criteria</w:t>
            </w:r>
            <w:r w:rsidRPr="00F7606D">
              <w:rPr>
                <w:rFonts w:ascii="Georgia" w:hAnsi="Georgia"/>
                <w:sz w:val="22"/>
                <w:szCs w:val="22"/>
                <w:u w:val="single"/>
                <w:lang w:val="en-GB"/>
              </w:rPr>
              <w:t>:</w:t>
            </w:r>
            <w:r w:rsidRPr="00F7606D">
              <w:rPr>
                <w:rFonts w:ascii="Georgia" w:hAnsi="Georgia"/>
                <w:sz w:val="22"/>
                <w:szCs w:val="22"/>
                <w:lang w:val="en-GB"/>
              </w:rPr>
              <w:t xml:space="preserve"> Age = 15 years to 50 years, diagnosis of relapsing MS (Poser et al.), EDSS = 0 to 5.0; ≥ 2 relapses within the 2-year period to treatment initiation documented by a neurologist.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Key exclusion criteria</w:t>
            </w:r>
            <w:r w:rsidRPr="00F7606D">
              <w:rPr>
                <w:szCs w:val="22"/>
                <w:u w:val="single"/>
                <w:lang w:val="en-GB"/>
              </w:rPr>
              <w:t>:</w:t>
            </w:r>
            <w:r w:rsidRPr="00F7606D">
              <w:rPr>
                <w:szCs w:val="22"/>
                <w:lang w:val="en-GB"/>
              </w:rPr>
              <w:t xml:space="preserve"> History of severe allergic or anaphylactic reaction to any IFN, or to other components of drug formulation; evidence of neurologic, psychiatric, cardiac, endocrinologic, hematologic, hepatic, renal, active malignancy, autoimmune diseases, or other chronic disease; history of uncontrolled seizure or suicidal ideation or severe depression; lactation and pregnancy.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P641C"/>
                <w:szCs w:val="22"/>
                <w:u w:val="single"/>
                <w:lang w:val="en-GB" w:eastAsia="en-US"/>
              </w:rPr>
              <w:t>Baseline characteristics:</w:t>
            </w:r>
            <w:r w:rsidRPr="00F7606D">
              <w:rPr>
                <w:rFonts w:eastAsiaTheme="minorHAnsi" w:cs="AdvP641C"/>
                <w:szCs w:val="22"/>
                <w:lang w:val="en-GB" w:eastAsia="en-US"/>
              </w:rPr>
              <w:t xml:space="preserve"> Age 29+/-7; 76% female; EDSS 2,0+/-0,9</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rial"/>
                <w:bCs/>
                <w:szCs w:val="22"/>
                <w:lang w:val="en-GB" w:eastAsia="en-US"/>
              </w:rPr>
            </w:pPr>
            <w:r w:rsidRPr="00F7606D">
              <w:rPr>
                <w:rFonts w:eastAsiaTheme="minorHAnsi" w:cs="Arial"/>
                <w:bCs/>
                <w:szCs w:val="22"/>
                <w:lang w:val="en-GB" w:eastAsia="en-US"/>
              </w:rPr>
              <w:t xml:space="preserve">Interferon beta-1b 250 mcg SC every other day </w:t>
            </w:r>
            <w:r w:rsidRPr="00F7606D">
              <w:rPr>
                <w:rFonts w:eastAsiaTheme="minorHAnsi" w:cs="Arial"/>
                <w:szCs w:val="22"/>
                <w:lang w:val="en-GB" w:eastAsia="en-US"/>
              </w:rPr>
              <w:t>(n = 30)</w:t>
            </w:r>
          </w:p>
          <w:p w:rsidR="00EA7D99" w:rsidRPr="00B4105F" w:rsidRDefault="00EA7D99" w:rsidP="00EA7D99">
            <w:pPr>
              <w:tabs>
                <w:tab w:val="clear" w:pos="510"/>
              </w:tabs>
              <w:autoSpaceDE w:val="0"/>
              <w:autoSpaceDN w:val="0"/>
              <w:adjustRightInd w:val="0"/>
              <w:spacing w:line="240" w:lineRule="auto"/>
              <w:contextualSpacing/>
              <w:jc w:val="both"/>
              <w:rPr>
                <w:rFonts w:eastAsiaTheme="minorHAnsi" w:cs="Arial"/>
                <w:szCs w:val="22"/>
                <w:lang w:val="pt-PT" w:eastAsia="en-US"/>
              </w:rPr>
            </w:pPr>
            <w:r w:rsidRPr="00B4105F">
              <w:rPr>
                <w:rFonts w:eastAsiaTheme="minorHAnsi" w:cs="Arial"/>
                <w:bCs/>
                <w:szCs w:val="22"/>
                <w:lang w:val="pt-PT" w:eastAsia="en-US"/>
              </w:rPr>
              <w:t xml:space="preserve">Interferon beta-1a 30 mcg IM q.w. </w:t>
            </w:r>
            <w:r w:rsidRPr="00B4105F">
              <w:rPr>
                <w:rFonts w:eastAsiaTheme="minorHAnsi" w:cs="Arial"/>
                <w:szCs w:val="22"/>
                <w:lang w:val="pt-PT" w:eastAsia="en-US"/>
              </w:rPr>
              <w:t>(n = 30)</w:t>
            </w:r>
          </w:p>
          <w:p w:rsidR="00EA7D99" w:rsidRPr="00B4105F" w:rsidRDefault="00EA7D99" w:rsidP="00EA7D99">
            <w:pPr>
              <w:tabs>
                <w:tab w:val="clear" w:pos="510"/>
              </w:tabs>
              <w:autoSpaceDE w:val="0"/>
              <w:autoSpaceDN w:val="0"/>
              <w:adjustRightInd w:val="0"/>
              <w:spacing w:line="240" w:lineRule="auto"/>
              <w:contextualSpacing/>
              <w:jc w:val="both"/>
              <w:rPr>
                <w:rFonts w:eastAsiaTheme="minorHAnsi" w:cs="AdvP641C"/>
                <w:szCs w:val="22"/>
                <w:lang w:val="pt-PT" w:eastAsia="en-US"/>
              </w:rPr>
            </w:pPr>
            <w:r w:rsidRPr="00B4105F">
              <w:rPr>
                <w:rFonts w:eastAsiaTheme="minorHAnsi" w:cs="Arial"/>
                <w:bCs/>
                <w:szCs w:val="22"/>
                <w:lang w:val="pt-PT" w:eastAsia="en-US"/>
              </w:rPr>
              <w:t xml:space="preserve">Interferon beta-1a 44 mcg SC t.i.w. </w:t>
            </w:r>
            <w:r w:rsidRPr="00B4105F">
              <w:rPr>
                <w:rFonts w:eastAsiaTheme="minorHAnsi" w:cs="Arial"/>
                <w:szCs w:val="22"/>
                <w:lang w:val="pt-PT" w:eastAsia="en-US"/>
              </w:rPr>
              <w:t>(n = 30)</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highlight w:val="yellow"/>
                <w:lang w:val="en-GB" w:eastAsia="en-US"/>
              </w:rPr>
            </w:pPr>
            <w:r w:rsidRPr="00F7606D">
              <w:rPr>
                <w:rFonts w:eastAsiaTheme="minorHAnsi" w:cs="AdvP641C"/>
                <w:szCs w:val="22"/>
                <w:lang w:val="en-GB" w:eastAsia="en-US"/>
              </w:rPr>
              <w:t>These drugs were compared one with another</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sz w:val="22"/>
                <w:szCs w:val="22"/>
                <w:u w:val="single"/>
                <w:lang w:val="en-GB"/>
              </w:rPr>
              <w:t>Endpoints:</w:t>
            </w:r>
            <w:r w:rsidRPr="00F7606D">
              <w:rPr>
                <w:rFonts w:ascii="Georgia" w:hAnsi="Georgia"/>
                <w:sz w:val="22"/>
                <w:szCs w:val="22"/>
                <w:lang w:val="en-GB"/>
              </w:rPr>
              <w:t xml:space="preserve"> Number of relapses, proportion of relapse-free patients, EDSS scores </w:t>
            </w:r>
          </w:p>
          <w:p w:rsidR="00EA7D99" w:rsidRPr="00F7606D" w:rsidRDefault="00EA7D99" w:rsidP="00EA7D99">
            <w:pPr>
              <w:pStyle w:val="Default"/>
              <w:contextualSpacing/>
              <w:jc w:val="both"/>
              <w:rPr>
                <w:rFonts w:ascii="Georgia" w:hAnsi="Georgia"/>
                <w:sz w:val="22"/>
                <w:szCs w:val="22"/>
                <w:lang w:val="en-GB"/>
              </w:rPr>
            </w:pP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szCs w:val="22"/>
                <w:u w:val="single"/>
                <w:lang w:val="en-GB"/>
              </w:rPr>
              <w:t>Definitions used for endpoints:</w:t>
            </w:r>
            <w:r w:rsidRPr="00F7606D">
              <w:rPr>
                <w:szCs w:val="22"/>
                <w:lang w:val="en-GB"/>
              </w:rPr>
              <w:t xml:space="preserve"> </w:t>
            </w:r>
            <w:r w:rsidRPr="00F7606D">
              <w:rPr>
                <w:i/>
                <w:iCs/>
                <w:szCs w:val="22"/>
                <w:u w:val="single"/>
                <w:lang w:val="en-GB"/>
              </w:rPr>
              <w:t>Relapses</w:t>
            </w:r>
            <w:r w:rsidRPr="00F7606D">
              <w:rPr>
                <w:szCs w:val="22"/>
                <w:u w:val="single"/>
                <w:lang w:val="en-GB"/>
              </w:rPr>
              <w:t>:</w:t>
            </w:r>
            <w:r w:rsidRPr="00F7606D">
              <w:rPr>
                <w:szCs w:val="22"/>
                <w:lang w:val="en-GB"/>
              </w:rPr>
              <w:t xml:space="preserve"> The appearance of a new neurologic symptom, or severe deterioration in a pre-existing symptom that lasted 24 hours causing the deterioration in the EDSS with 1 point.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2 years</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autoSpaceDE w:val="0"/>
              <w:autoSpaceDN w:val="0"/>
              <w:adjustRightInd w:val="0"/>
              <w:spacing w:line="240" w:lineRule="auto"/>
              <w:contextualSpacing/>
              <w:jc w:val="both"/>
              <w:rPr>
                <w:rFonts w:cs="TimesNewRomanPSMT"/>
                <w:szCs w:val="22"/>
                <w:lang w:val="en-GB"/>
              </w:rPr>
            </w:pPr>
            <w:r w:rsidRPr="00F7606D">
              <w:rPr>
                <w:rFonts w:cs="TimesNewRomanPSMT"/>
                <w:szCs w:val="22"/>
                <w:lang w:val="en-GB"/>
              </w:rPr>
              <w:t>Unclear (inadequate information to characterise)</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Randomization</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Insufficient reporting</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Allocation concealment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Not reporting</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Double-blinding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 (rater-blinded)</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Baseline characteristic similarity</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 measures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Withdrawals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0%</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ITT Analysis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Funding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Not reporting</w:t>
            </w:r>
          </w:p>
        </w:tc>
      </w:tr>
    </w:tbl>
    <w:p w:rsidR="00EA7D99" w:rsidRPr="00F7606D" w:rsidRDefault="00EA7D99" w:rsidP="00EA7D99">
      <w:pPr>
        <w:spacing w:line="240" w:lineRule="auto"/>
        <w:contextualSpacing/>
        <w:jc w:val="both"/>
      </w:pPr>
    </w:p>
    <w:p w:rsidR="00EA7D99" w:rsidRPr="00F7606D" w:rsidRDefault="00EA7D99" w:rsidP="00EA7D99">
      <w:pPr>
        <w:spacing w:after="160" w:line="240" w:lineRule="auto"/>
        <w:contextualSpacing/>
      </w:pPr>
    </w:p>
    <w:p w:rsidR="00EA7D99" w:rsidRPr="00F7606D" w:rsidRDefault="00EA7D99" w:rsidP="00EA7D99">
      <w:pPr>
        <w:pStyle w:val="31"/>
        <w:spacing w:line="240" w:lineRule="auto"/>
        <w:contextualSpacing/>
        <w:jc w:val="both"/>
        <w:rPr>
          <w:szCs w:val="22"/>
          <w:lang w:val="en-GB"/>
        </w:rPr>
      </w:pPr>
      <w:r w:rsidRPr="00F7606D">
        <w:rPr>
          <w:szCs w:val="22"/>
          <w:lang w:val="en-GB"/>
        </w:rPr>
        <w:t>Natalizumab</w:t>
      </w:r>
    </w:p>
    <w:p w:rsidR="00EA7D99" w:rsidRPr="00F7606D" w:rsidRDefault="00EA7D99" w:rsidP="004B4975">
      <w:pPr>
        <w:pStyle w:val="41"/>
        <w:numPr>
          <w:ilvl w:val="0"/>
          <w:numId w:val="0"/>
        </w:numPr>
        <w:spacing w:line="240" w:lineRule="auto"/>
        <w:contextualSpacing/>
        <w:rPr>
          <w:lang w:val="en-GB"/>
        </w:rPr>
      </w:pPr>
      <w:r w:rsidRPr="00F7606D">
        <w:rPr>
          <w:lang w:val="en-GB"/>
        </w:rPr>
        <w:t>AFFIRM (</w:t>
      </w:r>
      <w:r w:rsidRPr="00F7606D">
        <w:rPr>
          <w:rFonts w:eastAsia="OTNEJMQuadraat" w:cs="OTNEJMQuadraat"/>
          <w:lang w:val="en-GB" w:eastAsia="en-US"/>
        </w:rPr>
        <w:t>Natalizumab Safety and Efficacy in Relapsing Remitting Multiple Sclerosis</w:t>
      </w:r>
      <w:r w:rsidRPr="00F7606D">
        <w:rPr>
          <w:lang w:val="en-GB"/>
        </w:rPr>
        <w:t xml:space="preserve">) study, Polman et al., </w:t>
      </w:r>
      <w:r w:rsidR="00852BF9">
        <w:rPr>
          <w:lang w:val="en-GB"/>
        </w:rPr>
        <w:t>(</w:t>
      </w:r>
      <w:r w:rsidRPr="00F7606D">
        <w:rPr>
          <w:lang w:val="en-GB"/>
        </w:rPr>
        <w:t>200</w:t>
      </w:r>
      <w:r w:rsidR="00852BF9">
        <w:rPr>
          <w:lang w:val="en-GB"/>
        </w:rPr>
        <w:t>6</w:t>
      </w:r>
      <w:r w:rsidRPr="00F7606D">
        <w:rPr>
          <w:lang w:val="en-GB"/>
        </w:rPr>
        <w:t xml:space="preserve"> </w:t>
      </w:r>
      <w:r w:rsidR="00204467" w:rsidRPr="00F7606D">
        <w:rPr>
          <w:lang w:val="en-GB"/>
        </w:rPr>
        <w:fldChar w:fldCharType="begin">
          <w:fldData xml:space="preserve">PEVuZE5vdGU+PENpdGU+PEF1dGhvcj5Qb2xtYW48L0F1dGhvcj48WWVhcj4yMDA2PC9ZZWFyPjxS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</w:fldData>
        </w:fldChar>
      </w:r>
      <w:r w:rsidRPr="00F7606D">
        <w:rPr>
          <w:lang w:val="en-GB"/>
        </w:rPr>
        <w:instrText xml:space="preserve"> ADDIN EN.CITE </w:instrText>
      </w:r>
      <w:r w:rsidR="00204467" w:rsidRPr="00F7606D">
        <w:rPr>
          <w:lang w:val="en-GB"/>
        </w:rPr>
        <w:fldChar w:fldCharType="begin">
          <w:fldData xml:space="preserve">PEVuZE5vdGU+PENpdGU+PEF1dGhvcj5Qb2xtYW48L0F1dGhvcj48WWVhcj4yMDA2PC9ZZWFyPjxS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</w:fldData>
        </w:fldChar>
      </w:r>
      <w:r w:rsidRPr="00F7606D">
        <w:rPr>
          <w:lang w:val="en-GB"/>
        </w:rPr>
        <w:instrText xml:space="preserve"> ADDIN EN.CITE.DATA </w:instrText>
      </w:r>
      <w:r w:rsidR="00204467" w:rsidRPr="00F7606D">
        <w:rPr>
          <w:lang w:val="en-GB"/>
        </w:rPr>
      </w:r>
      <w:r w:rsidR="00204467" w:rsidRPr="00F7606D">
        <w:rPr>
          <w:lang w:val="en-GB"/>
        </w:rPr>
        <w:fldChar w:fldCharType="end"/>
      </w:r>
      <w:r w:rsidR="00204467" w:rsidRPr="00F7606D">
        <w:rPr>
          <w:lang w:val="en-GB"/>
        </w:rPr>
      </w:r>
      <w:r w:rsidR="00204467" w:rsidRPr="00F7606D">
        <w:rPr>
          <w:lang w:val="en-GB"/>
        </w:rPr>
        <w:fldChar w:fldCharType="separate"/>
      </w:r>
      <w:r w:rsidRPr="00F7606D">
        <w:rPr>
          <w:noProof/>
          <w:lang w:val="en-GB"/>
        </w:rPr>
        <w:t>)</w:t>
      </w:r>
      <w:r w:rsidR="00204467" w:rsidRPr="00F7606D">
        <w:rPr>
          <w:lang w:val="en-GB"/>
        </w:rPr>
        <w:fldChar w:fldCharType="end"/>
      </w:r>
      <w:r w:rsidRPr="00F7606D">
        <w:rPr>
          <w:lang w:val="en-GB"/>
        </w:rPr>
        <w:t xml:space="preserve">, in </w:t>
      </w:r>
      <w:r w:rsidR="00663354">
        <w:rPr>
          <w:lang w:val="en-GB"/>
        </w:rPr>
        <w:t>Tran</w:t>
      </w:r>
      <w:r w:rsidRPr="00F7606D">
        <w:rPr>
          <w:lang w:val="en-GB"/>
        </w:rPr>
        <w:t xml:space="preserve"> et al. </w:t>
      </w:r>
      <w:r w:rsidR="00852BF9">
        <w:rPr>
          <w:szCs w:val="22"/>
          <w:lang w:val="en-GB"/>
        </w:rPr>
        <w:t>(2013)</w:t>
      </w:r>
    </w:p>
    <w:tbl>
      <w:tblPr>
        <w:tblStyle w:val="afff"/>
        <w:tblW w:w="9351" w:type="dxa"/>
        <w:tblLook w:val="04A0"/>
      </w:tblPr>
      <w:tblGrid>
        <w:gridCol w:w="2687"/>
        <w:gridCol w:w="1559"/>
        <w:gridCol w:w="5105"/>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OTNEJMQuadraat" w:cs="OTNEJMQuadraat"/>
                <w:szCs w:val="22"/>
                <w:lang w:val="en-GB" w:eastAsia="en-US"/>
              </w:rPr>
              <w:t>NCT00027300</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 xml:space="preserve">Randomized, double-blind, placebo-controlled trial in 99 centres in Europe, North America, Australia, and New Zealand.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Eligibility criteria</w:t>
            </w:r>
            <w:r w:rsidRPr="00F7606D">
              <w:rPr>
                <w:rFonts w:ascii="Georgia" w:hAnsi="Georgia"/>
                <w:sz w:val="22"/>
                <w:szCs w:val="22"/>
                <w:u w:val="single"/>
                <w:lang w:val="en-GB"/>
              </w:rPr>
              <w:t>:</w:t>
            </w:r>
            <w:r w:rsidRPr="00F7606D">
              <w:rPr>
                <w:rFonts w:ascii="Georgia" w:hAnsi="Georgia"/>
                <w:sz w:val="22"/>
                <w:szCs w:val="22"/>
                <w:lang w:val="en-GB"/>
              </w:rPr>
              <w:t xml:space="preserve"> Age = 18 years to 50 years, diagnosis of RRMS (McDonald criteria), EDSS = 0 to 5.0; had MRI lesions with MS, with ≥1 medially documented relapse within 12 months before the study began. </w:t>
            </w: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Key exclusion criteria</w:t>
            </w:r>
            <w:r w:rsidRPr="00F7606D">
              <w:rPr>
                <w:rFonts w:ascii="Georgia" w:hAnsi="Georgia"/>
                <w:sz w:val="22"/>
                <w:szCs w:val="22"/>
                <w:u w:val="single"/>
                <w:lang w:val="en-GB"/>
              </w:rPr>
              <w:t>:</w:t>
            </w:r>
            <w:r w:rsidRPr="00F7606D">
              <w:rPr>
                <w:rFonts w:ascii="Georgia" w:hAnsi="Georgia"/>
                <w:sz w:val="22"/>
                <w:szCs w:val="22"/>
                <w:lang w:val="en-GB"/>
              </w:rPr>
              <w:t xml:space="preserve"> relapse within 50 days before administration of the first dose of the study drug; treatment with specific named pharmaceuticals (MS related)</w:t>
            </w: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u w:val="single"/>
                <w:lang w:val="en-GB"/>
              </w:rPr>
              <w:t>Baseline characteristics:</w:t>
            </w:r>
            <w:r w:rsidRPr="00F7606D">
              <w:rPr>
                <w:rFonts w:ascii="Georgia" w:hAnsi="Georgia"/>
                <w:sz w:val="22"/>
                <w:szCs w:val="22"/>
                <w:lang w:val="en-GB"/>
              </w:rPr>
              <w:t xml:space="preserve"> Age 36+/-8 years; 70% female; EDSS 2,3+/-1,2</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bCs/>
                <w:sz w:val="22"/>
                <w:szCs w:val="22"/>
                <w:lang w:val="en-GB"/>
              </w:rPr>
              <w:t xml:space="preserve">Natalizumab 300 mg IV every 4 weeks </w:t>
            </w:r>
            <w:r w:rsidRPr="00F7606D">
              <w:rPr>
                <w:rFonts w:ascii="Georgia" w:hAnsi="Georgia"/>
                <w:sz w:val="22"/>
                <w:szCs w:val="22"/>
                <w:lang w:val="en-GB"/>
              </w:rPr>
              <w:t xml:space="preserve">(n = 627)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bCs/>
                <w:sz w:val="22"/>
                <w:szCs w:val="22"/>
                <w:lang w:val="en-GB"/>
              </w:rPr>
              <w:t xml:space="preserve">Placebo </w:t>
            </w:r>
            <w:r w:rsidRPr="00F7606D">
              <w:rPr>
                <w:rFonts w:ascii="Georgia" w:hAnsi="Georgia"/>
                <w:sz w:val="22"/>
                <w:szCs w:val="22"/>
                <w:lang w:val="en-GB"/>
              </w:rPr>
              <w:t xml:space="preserve">(n = 315) </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endpoints</w:t>
            </w:r>
            <w:r w:rsidRPr="00F7606D">
              <w:rPr>
                <w:rFonts w:ascii="Georgia" w:hAnsi="Georgia"/>
                <w:sz w:val="22"/>
                <w:szCs w:val="22"/>
                <w:u w:val="single"/>
                <w:lang w:val="en-GB"/>
              </w:rPr>
              <w:t>:</w:t>
            </w:r>
            <w:r w:rsidRPr="00F7606D">
              <w:rPr>
                <w:rFonts w:ascii="Georgia" w:hAnsi="Georgia"/>
                <w:sz w:val="22"/>
                <w:szCs w:val="22"/>
                <w:lang w:val="en-GB"/>
              </w:rPr>
              <w:t xml:space="preserve"> Rate of clinical relapse at 1 year; cumulative probability of sustained progression of disability at 2 years. </w:t>
            </w: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Secondary endpoints</w:t>
            </w:r>
            <w:r w:rsidRPr="00F7606D">
              <w:rPr>
                <w:rFonts w:ascii="Georgia" w:hAnsi="Georgia"/>
                <w:sz w:val="22"/>
                <w:szCs w:val="22"/>
                <w:u w:val="single"/>
                <w:lang w:val="en-GB"/>
              </w:rPr>
              <w:t>:</w:t>
            </w:r>
            <w:r w:rsidRPr="00F7606D">
              <w:rPr>
                <w:rFonts w:ascii="Georgia" w:hAnsi="Georgia"/>
                <w:sz w:val="22"/>
                <w:szCs w:val="22"/>
                <w:lang w:val="en-GB"/>
              </w:rPr>
              <w:t xml:space="preserve"> Different MRI outcomes at 1 and 2 years; proportion of relapse-free patients at 1 year; progression of disability at 2 years, measured by MSFC.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Tertiary endpoints</w:t>
            </w:r>
            <w:r w:rsidRPr="00F7606D">
              <w:rPr>
                <w:szCs w:val="22"/>
                <w:u w:val="single"/>
                <w:lang w:val="en-GB"/>
              </w:rPr>
              <w:t>:</w:t>
            </w:r>
            <w:r w:rsidRPr="00F7606D">
              <w:rPr>
                <w:szCs w:val="22"/>
                <w:lang w:val="en-GB"/>
              </w:rPr>
              <w:t xml:space="preserve"> HRQoL was assessed by SF-36 (PCS and MCS) and Subject Global Assessment Visual Analogue Scale.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szCs w:val="22"/>
                <w:u w:val="single"/>
                <w:lang w:val="en-GB"/>
              </w:rPr>
              <w:t>Definitions used for endpoints:</w:t>
            </w:r>
            <w:r w:rsidRPr="00F7606D">
              <w:rPr>
                <w:szCs w:val="22"/>
                <w:lang w:val="en-GB"/>
              </w:rPr>
              <w:t xml:space="preserve"> </w:t>
            </w:r>
            <w:r w:rsidRPr="00F7606D">
              <w:rPr>
                <w:i/>
                <w:iCs/>
                <w:szCs w:val="22"/>
                <w:u w:val="single"/>
                <w:lang w:val="en-GB"/>
              </w:rPr>
              <w:t>Relapses</w:t>
            </w:r>
            <w:r w:rsidRPr="00F7606D">
              <w:rPr>
                <w:szCs w:val="22"/>
                <w:u w:val="single"/>
                <w:lang w:val="en-GB"/>
              </w:rPr>
              <w:t>:</w:t>
            </w:r>
            <w:r w:rsidRPr="00F7606D">
              <w:rPr>
                <w:szCs w:val="22"/>
                <w:lang w:val="en-GB"/>
              </w:rPr>
              <w:t xml:space="preserve"> New or recurrent neurologic symptoms not associated with fever or infection that lasted for at least 24 hours and were accompanied by new neurologic signs found by the examining neurologist.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i/>
                <w:iCs/>
                <w:szCs w:val="22"/>
                <w:u w:val="single"/>
                <w:lang w:val="en-GB"/>
              </w:rPr>
              <w:t>Sustained progression of disability</w:t>
            </w:r>
            <w:r w:rsidRPr="00F7606D">
              <w:rPr>
                <w:szCs w:val="22"/>
                <w:u w:val="single"/>
                <w:lang w:val="en-GB"/>
              </w:rPr>
              <w:t>:</w:t>
            </w:r>
            <w:r w:rsidRPr="00F7606D">
              <w:rPr>
                <w:szCs w:val="22"/>
                <w:lang w:val="en-GB"/>
              </w:rPr>
              <w:t xml:space="preserve"> An increase of 1.0 or more on the EDSS from a baseline score of 1.0 or more or an increase of 1.5 or more from a baseline score of 0 that was sustained for 12 weeks (progression could not be confirmed during a relapse).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2 years</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autoSpaceDE w:val="0"/>
              <w:autoSpaceDN w:val="0"/>
              <w:adjustRightInd w:val="0"/>
              <w:spacing w:line="240" w:lineRule="auto"/>
              <w:contextualSpacing/>
              <w:jc w:val="both"/>
              <w:rPr>
                <w:rFonts w:cs="TimesNewRomanPSMT"/>
                <w:szCs w:val="22"/>
                <w:lang w:val="en-GB"/>
              </w:rPr>
            </w:pPr>
            <w:r w:rsidRPr="00F7606D">
              <w:rPr>
                <w:rFonts w:cs="TimesNewRomanPSMT"/>
                <w:szCs w:val="22"/>
                <w:lang w:val="en-GB"/>
              </w:rPr>
              <w:t>Unclear (inadequate information to characterise)</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Randomization</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Allocation concealment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Double-blinding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Baseline characteristic similarity</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 measures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Withdrawals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9%</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ITT Analysis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Funding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Manufacturer</w:t>
            </w:r>
          </w:p>
        </w:tc>
      </w:tr>
    </w:tbl>
    <w:p w:rsidR="00EA7D99" w:rsidRPr="00F7606D" w:rsidRDefault="00EA7D99" w:rsidP="00EA7D99">
      <w:pPr>
        <w:spacing w:after="160" w:line="240" w:lineRule="auto"/>
        <w:contextualSpacing/>
      </w:pPr>
    </w:p>
    <w:p w:rsidR="00EA7D99" w:rsidRPr="00F7606D" w:rsidRDefault="00EA7D99" w:rsidP="004B4975">
      <w:pPr>
        <w:pStyle w:val="41"/>
        <w:numPr>
          <w:ilvl w:val="0"/>
          <w:numId w:val="0"/>
        </w:numPr>
        <w:spacing w:line="240" w:lineRule="auto"/>
        <w:contextualSpacing/>
        <w:rPr>
          <w:szCs w:val="22"/>
          <w:lang w:val="en-GB"/>
        </w:rPr>
      </w:pPr>
      <w:r w:rsidRPr="00F7606D">
        <w:rPr>
          <w:szCs w:val="22"/>
          <w:lang w:val="en-GB"/>
        </w:rPr>
        <w:t xml:space="preserve">Gobbi et al. </w:t>
      </w:r>
      <w:r w:rsidR="00204467" w:rsidRPr="00F7606D">
        <w:rPr>
          <w:szCs w:val="22"/>
          <w:lang w:val="en-GB"/>
        </w:rPr>
        <w:fldChar w:fldCharType="begin">
          <w:fldData xml:space="preserve">PEVuZE5vdGU+PENpdGU+PEF1dGhvcj5Hb2JiaTwvQXV0aG9yPjxZZWFyPjIwMTM8L1llYXI+PFJl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</w:fldData>
        </w:fldChar>
      </w:r>
      <w:r w:rsidRPr="00F7606D">
        <w:rPr>
          <w:szCs w:val="22"/>
          <w:lang w:val="en-GB"/>
        </w:rPr>
        <w:instrText xml:space="preserve"> ADDIN EN.CITE </w:instrText>
      </w:r>
      <w:r w:rsidR="00204467" w:rsidRPr="00F7606D">
        <w:rPr>
          <w:szCs w:val="22"/>
          <w:lang w:val="en-GB"/>
        </w:rPr>
        <w:fldChar w:fldCharType="begin">
          <w:fldData xml:space="preserve">PEVuZE5vdGU+PENpdGU+PEF1dGhvcj5Hb2JiaTwvQXV0aG9yPjxZZWFyPjIwMTM8L1llYXI+PFJl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</w:fldData>
        </w:fldChar>
      </w:r>
      <w:r w:rsidRPr="00F7606D">
        <w:rPr>
          <w:szCs w:val="22"/>
          <w:lang w:val="en-GB"/>
        </w:rPr>
        <w:instrText xml:space="preserve"> ADDIN EN.CITE.DATA </w:instrText>
      </w:r>
      <w:r w:rsidR="00204467" w:rsidRPr="00F7606D">
        <w:rPr>
          <w:szCs w:val="22"/>
          <w:lang w:val="en-GB"/>
        </w:rPr>
      </w:r>
      <w:r w:rsidR="00204467" w:rsidRPr="00F7606D">
        <w:rPr>
          <w:szCs w:val="22"/>
          <w:lang w:val="en-GB"/>
        </w:rPr>
        <w:fldChar w:fldCharType="end"/>
      </w:r>
      <w:r w:rsidR="00204467" w:rsidRPr="00F7606D">
        <w:rPr>
          <w:szCs w:val="22"/>
          <w:lang w:val="en-GB"/>
        </w:rPr>
      </w:r>
      <w:r w:rsidR="00204467" w:rsidRPr="00F7606D">
        <w:rPr>
          <w:szCs w:val="22"/>
          <w:lang w:val="en-GB"/>
        </w:rPr>
        <w:fldChar w:fldCharType="separate"/>
      </w:r>
      <w:r w:rsidR="00852BF9">
        <w:rPr>
          <w:noProof/>
          <w:szCs w:val="22"/>
          <w:lang w:val="en-GB"/>
        </w:rPr>
        <w:t>(2013</w:t>
      </w:r>
      <w:r w:rsidRPr="00F7606D">
        <w:rPr>
          <w:noProof/>
          <w:szCs w:val="22"/>
          <w:lang w:val="en-GB"/>
        </w:rPr>
        <w:t>)</w:t>
      </w:r>
      <w:r w:rsidR="00204467" w:rsidRPr="00F7606D">
        <w:rPr>
          <w:szCs w:val="22"/>
          <w:lang w:val="en-GB"/>
        </w:rPr>
        <w:fldChar w:fldCharType="end"/>
      </w:r>
      <w:r w:rsidRPr="00F7606D">
        <w:rPr>
          <w:szCs w:val="22"/>
          <w:lang w:val="en-GB"/>
        </w:rPr>
        <w:t xml:space="preserve">, not included in </w:t>
      </w:r>
      <w:r w:rsidR="00663354">
        <w:rPr>
          <w:szCs w:val="22"/>
          <w:lang w:val="en-GB"/>
        </w:rPr>
        <w:t>Tran</w:t>
      </w:r>
      <w:r w:rsidRPr="00F7606D">
        <w:rPr>
          <w:szCs w:val="22"/>
          <w:lang w:val="en-GB"/>
        </w:rPr>
        <w:t xml:space="preserve"> et al. </w:t>
      </w:r>
      <w:r w:rsidR="00852BF9">
        <w:rPr>
          <w:szCs w:val="22"/>
          <w:lang w:val="en-GB"/>
        </w:rPr>
        <w:t>(2013)</w:t>
      </w:r>
    </w:p>
    <w:tbl>
      <w:tblPr>
        <w:tblStyle w:val="afff"/>
        <w:tblW w:w="9351" w:type="dxa"/>
        <w:tblLook w:val="04A0"/>
      </w:tblPr>
      <w:tblGrid>
        <w:gridCol w:w="2687"/>
        <w:gridCol w:w="852"/>
        <w:gridCol w:w="5812"/>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cs="AdvTT86d47313"/>
                <w:szCs w:val="22"/>
                <w:lang w:val="en-GB" w:eastAsia="en-US"/>
              </w:rPr>
              <w:t>NCT01144052</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TT86d47313"/>
                <w:szCs w:val="22"/>
                <w:lang w:val="en-GB" w:eastAsia="en-US"/>
              </w:rPr>
            </w:pPr>
            <w:r w:rsidRPr="00F7606D">
              <w:rPr>
                <w:rFonts w:eastAsiaTheme="minorHAnsi" w:cs="AdvTT86d47313"/>
                <w:szCs w:val="22"/>
                <w:lang w:val="en-GB" w:eastAsia="en-US"/>
              </w:rPr>
              <w:t>Randomized controlled study, rater blinded. One centre, Switzerland.</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TT86d47313"/>
                <w:szCs w:val="22"/>
                <w:lang w:val="en-GB" w:eastAsia="en-US"/>
              </w:rPr>
            </w:pPr>
            <w:r w:rsidRPr="00F7606D">
              <w:rPr>
                <w:rFonts w:eastAsiaTheme="minorHAnsi" w:cs="AdvTT86d47313"/>
                <w:i/>
                <w:szCs w:val="22"/>
                <w:u w:val="single"/>
                <w:lang w:val="en-GB" w:eastAsia="en-US"/>
              </w:rPr>
              <w:t>Eligibility criteria</w:t>
            </w:r>
            <w:r w:rsidRPr="00F7606D">
              <w:rPr>
                <w:rFonts w:eastAsiaTheme="minorHAnsi" w:cs="AdvTT86d47313"/>
                <w:szCs w:val="22"/>
                <w:lang w:val="en-GB" w:eastAsia="en-US"/>
              </w:rPr>
              <w:t>: Patients with RRMS (2005 McDonald</w:t>
            </w:r>
            <w:r w:rsidRPr="00F7606D">
              <w:rPr>
                <w:rFonts w:eastAsiaTheme="minorHAnsi" w:cs="AdvTT86d47313+20"/>
                <w:szCs w:val="22"/>
                <w:lang w:val="en-GB" w:eastAsia="en-US"/>
              </w:rPr>
              <w:t>’</w:t>
            </w:r>
            <w:r w:rsidRPr="00F7606D">
              <w:rPr>
                <w:rFonts w:eastAsiaTheme="minorHAnsi" w:cs="AdvTT86d47313"/>
                <w:szCs w:val="22"/>
                <w:lang w:val="en-GB" w:eastAsia="en-US"/>
              </w:rPr>
              <w:t>s criteria), aged between 18 and 60 years, who were on natalizumab (NTZ) and feared or were at significant risk for progressive multifocal leucoencephalopathy (PML) [Risk for PML was defined significant in case of NTZ treatment duration equal to or greater than 12mMonths]. Patients had to be free of disease activity while</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TT86d47313"/>
                <w:szCs w:val="22"/>
                <w:lang w:val="en-GB" w:eastAsia="en-US"/>
              </w:rPr>
            </w:pPr>
            <w:r w:rsidRPr="00F7606D">
              <w:rPr>
                <w:rFonts w:eastAsiaTheme="minorHAnsi" w:cs="AdvTT86d47313"/>
                <w:szCs w:val="22"/>
                <w:lang w:val="en-GB" w:eastAsia="en-US"/>
              </w:rPr>
              <w:t>on NTZ (free from relapses and disability progression for at least 6 months and no gadolinium enhancing lesions on baseline MRI</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TT86d47313"/>
                <w:szCs w:val="22"/>
                <w:lang w:val="en-GB" w:eastAsia="en-US"/>
              </w:rPr>
            </w:pPr>
            <w:r w:rsidRPr="00F7606D">
              <w:rPr>
                <w:rFonts w:eastAsiaTheme="minorHAnsi" w:cs="AdvTT86d47313"/>
                <w:i/>
                <w:szCs w:val="22"/>
                <w:u w:val="single"/>
                <w:lang w:val="en-GB" w:eastAsia="en-US"/>
              </w:rPr>
              <w:t>Key exclusion criteria:</w:t>
            </w:r>
            <w:r w:rsidRPr="00F7606D">
              <w:rPr>
                <w:rFonts w:eastAsiaTheme="minorHAnsi" w:cs="AdvTT86d47313"/>
                <w:szCs w:val="22"/>
                <w:lang w:val="en-GB" w:eastAsia="en-US"/>
              </w:rPr>
              <w:t xml:space="preserve"> relevant neurologic, internistic or psychiatric disorders; treatment with steroids less than 1 month before study entry; treatment with any immunomodulators or immune-suppressors other than steroids, ACTH* or NTZ in the past year.</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AGaramond-R"/>
                <w:i/>
                <w:color w:val="231F20"/>
                <w:szCs w:val="22"/>
                <w:u w:val="single"/>
                <w:lang w:val="en-GB" w:eastAsia="en-US"/>
              </w:rPr>
              <w:t>Baseline characterics in NTZ group</w:t>
            </w:r>
            <w:r w:rsidRPr="00F7606D">
              <w:rPr>
                <w:rFonts w:eastAsiaTheme="minorHAnsi" w:cs="AdvAGaramond-R"/>
                <w:color w:val="231F20"/>
                <w:szCs w:val="22"/>
                <w:u w:val="single"/>
                <w:lang w:val="en-GB" w:eastAsia="en-US"/>
              </w:rPr>
              <w:t>:</w:t>
            </w:r>
            <w:r w:rsidRPr="00F7606D">
              <w:rPr>
                <w:rFonts w:eastAsiaTheme="minorHAnsi" w:cs="AdvAGaramond-R"/>
                <w:color w:val="231F20"/>
                <w:szCs w:val="22"/>
                <w:lang w:val="en-GB" w:eastAsia="en-US"/>
              </w:rPr>
              <w:t xml:space="preserve"> Age median (range): 43 (20-60), 60% female, EDSS score (median (range)): 3 (1.5-3.5)</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TT86d47313"/>
                <w:szCs w:val="22"/>
                <w:lang w:val="en-GB" w:eastAsia="en-US"/>
              </w:rPr>
            </w:pPr>
            <w:r w:rsidRPr="00F7606D">
              <w:rPr>
                <w:rFonts w:eastAsiaTheme="minorHAnsi" w:cs="AdvTT86d47313"/>
                <w:szCs w:val="22"/>
                <w:lang w:val="en-GB" w:eastAsia="en-US"/>
              </w:rPr>
              <w:t>Continue on natalizumab 300 mg IV q.m. (n=10)</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TT86d47313"/>
                <w:szCs w:val="22"/>
                <w:lang w:val="en-GB" w:eastAsia="en-US"/>
              </w:rPr>
            </w:pPr>
            <w:r w:rsidRPr="00F7606D">
              <w:rPr>
                <w:rFonts w:eastAsiaTheme="minorHAnsi" w:cs="AdvTT86d47313"/>
                <w:szCs w:val="22"/>
                <w:lang w:val="en-GB" w:eastAsia="en-US"/>
              </w:rPr>
              <w:t>Switch to interferon beta-1b 250 mcg every other day (n=9)</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rFonts w:eastAsiaTheme="minorHAnsi" w:cs="AdvTT86d47313"/>
                <w:szCs w:val="22"/>
                <w:lang w:val="en-GB" w:eastAsia="en-US"/>
              </w:rPr>
            </w:pPr>
            <w:r w:rsidRPr="00F7606D">
              <w:rPr>
                <w:rFonts w:eastAsiaTheme="minorHAnsi" w:cs="AdvTT86d47313"/>
                <w:i/>
                <w:szCs w:val="22"/>
                <w:u w:val="single"/>
                <w:lang w:val="en-GB" w:eastAsia="en-US"/>
              </w:rPr>
              <w:t>Primary endpoint</w:t>
            </w:r>
            <w:r w:rsidRPr="00F7606D">
              <w:rPr>
                <w:rFonts w:eastAsiaTheme="minorHAnsi" w:cs="AdvTT86d47313"/>
                <w:szCs w:val="22"/>
                <w:lang w:val="en-GB" w:eastAsia="en-US"/>
              </w:rPr>
              <w:t xml:space="preserve"> was time to first on-study relapse</w:t>
            </w:r>
          </w:p>
          <w:p w:rsidR="00EA7D99" w:rsidRPr="00F7606D" w:rsidRDefault="00EA7D99" w:rsidP="00EA7D99">
            <w:pPr>
              <w:tabs>
                <w:tab w:val="clear" w:pos="510"/>
              </w:tabs>
              <w:autoSpaceDE w:val="0"/>
              <w:autoSpaceDN w:val="0"/>
              <w:adjustRightInd w:val="0"/>
              <w:spacing w:line="240" w:lineRule="auto"/>
              <w:contextualSpacing/>
              <w:rPr>
                <w:rFonts w:eastAsiaTheme="minorHAnsi" w:cs="AdvTT86d47313"/>
                <w:szCs w:val="22"/>
                <w:lang w:val="en-GB" w:eastAsia="en-US"/>
              </w:rPr>
            </w:pPr>
            <w:r w:rsidRPr="00F7606D">
              <w:rPr>
                <w:rFonts w:eastAsiaTheme="minorHAnsi" w:cs="AdvTT86d47313"/>
                <w:szCs w:val="22"/>
                <w:lang w:val="en-GB" w:eastAsia="en-US"/>
              </w:rPr>
              <w:t xml:space="preserve">from randomization. </w:t>
            </w:r>
          </w:p>
          <w:p w:rsidR="00EA7D99" w:rsidRPr="00F7606D" w:rsidRDefault="00EA7D99" w:rsidP="00EA7D99">
            <w:pPr>
              <w:tabs>
                <w:tab w:val="clear" w:pos="510"/>
              </w:tabs>
              <w:autoSpaceDE w:val="0"/>
              <w:autoSpaceDN w:val="0"/>
              <w:adjustRightInd w:val="0"/>
              <w:spacing w:line="240" w:lineRule="auto"/>
              <w:contextualSpacing/>
              <w:rPr>
                <w:rFonts w:eastAsiaTheme="minorHAnsi" w:cs="AdvTT86d47313"/>
                <w:szCs w:val="22"/>
                <w:lang w:val="en-GB" w:eastAsia="en-US"/>
              </w:rPr>
            </w:pPr>
            <w:r w:rsidRPr="00F7606D">
              <w:rPr>
                <w:rFonts w:eastAsiaTheme="minorHAnsi" w:cs="AdvTT86d47313"/>
                <w:i/>
                <w:szCs w:val="22"/>
                <w:u w:val="single"/>
                <w:lang w:val="en-GB" w:eastAsia="en-US"/>
              </w:rPr>
              <w:t>Secondary endpoints</w:t>
            </w:r>
            <w:r w:rsidRPr="00F7606D">
              <w:rPr>
                <w:rFonts w:eastAsiaTheme="minorHAnsi" w:cs="AdvTT86d47313"/>
                <w:szCs w:val="22"/>
                <w:lang w:val="en-GB" w:eastAsia="en-US"/>
              </w:rPr>
              <w:t xml:space="preserve"> included number of relapses, proportion of relapse free patients, severity of relapses (severe relapse was defined by </w:t>
            </w:r>
            <w:r w:rsidRPr="00F7606D">
              <w:rPr>
                <w:rFonts w:eastAsia="AdvTT86d47313+22" w:cs="AdvTT86d47313+22"/>
                <w:szCs w:val="22"/>
                <w:lang w:val="en-GB" w:eastAsia="en-US"/>
              </w:rPr>
              <w:t>≥</w:t>
            </w:r>
            <w:r w:rsidRPr="00F7606D">
              <w:rPr>
                <w:rFonts w:eastAsiaTheme="minorHAnsi" w:cs="AdvTT86d47313"/>
                <w:szCs w:val="22"/>
                <w:lang w:val="en-GB" w:eastAsia="en-US"/>
              </w:rPr>
              <w:t xml:space="preserve">1.5 increase in EDSS score), 3 months confirmed disability progression (defined by </w:t>
            </w:r>
            <w:r w:rsidRPr="00F7606D">
              <w:rPr>
                <w:rFonts w:eastAsia="AdvTT86d47313+22" w:cs="AdvTT86d47313+22"/>
                <w:szCs w:val="22"/>
                <w:lang w:val="en-GB" w:eastAsia="en-US"/>
              </w:rPr>
              <w:t>≥</w:t>
            </w:r>
            <w:r w:rsidRPr="00F7606D">
              <w:rPr>
                <w:rFonts w:eastAsiaTheme="minorHAnsi" w:cs="AdvTT86d47313"/>
                <w:szCs w:val="22"/>
                <w:lang w:val="en-GB" w:eastAsia="en-US"/>
              </w:rPr>
              <w:t>1.0 increase in EDSS score), number of new T2-hyperintense lesions (nT2L) and Gd+L per patient at months 3, 6, 9 and 12.</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1 year</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highlight w:val="cyan"/>
                <w:lang w:val="en-GB"/>
              </w:rPr>
            </w:pPr>
            <w:r w:rsidRPr="00F7606D">
              <w:rPr>
                <w:szCs w:val="22"/>
                <w:lang w:val="en-GB"/>
              </w:rPr>
              <w:t>Treatment experienced</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Risk of Bias </w:t>
            </w:r>
          </w:p>
        </w:tc>
      </w:tr>
      <w:tr w:rsidR="00EA7D99" w:rsidRPr="00685670" w:rsidTr="00EA7D99">
        <w:tc>
          <w:tcPr>
            <w:tcW w:w="3539"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Random sequence generation</w:t>
            </w:r>
          </w:p>
        </w:tc>
        <w:tc>
          <w:tcPr>
            <w:tcW w:w="5812"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p w:rsidR="00EA7D99" w:rsidRPr="00F7606D" w:rsidRDefault="00EA7D99" w:rsidP="00EA7D99">
            <w:pPr>
              <w:tabs>
                <w:tab w:val="clear" w:pos="510"/>
              </w:tabs>
              <w:autoSpaceDE w:val="0"/>
              <w:autoSpaceDN w:val="0"/>
              <w:adjustRightInd w:val="0"/>
              <w:spacing w:line="240" w:lineRule="auto"/>
              <w:contextualSpacing/>
              <w:rPr>
                <w:rFonts w:eastAsiaTheme="minorHAnsi" w:cs="AdvTT86d47313"/>
                <w:szCs w:val="22"/>
                <w:lang w:val="en-GB" w:eastAsia="en-US"/>
              </w:rPr>
            </w:pPr>
            <w:r w:rsidRPr="00F7606D">
              <w:rPr>
                <w:rFonts w:eastAsiaTheme="minorHAnsi" w:cs="AdvTT86d47313"/>
                <w:szCs w:val="22"/>
                <w:lang w:val="en-GB" w:eastAsia="en-US"/>
              </w:rPr>
              <w:t>A monitoring agency prepared the randomization list and provided sealed envelopes for treatment allocation.</w:t>
            </w:r>
          </w:p>
        </w:tc>
      </w:tr>
      <w:tr w:rsidR="00EA7D99" w:rsidRPr="00F7606D" w:rsidTr="00EA7D99">
        <w:tc>
          <w:tcPr>
            <w:tcW w:w="3539"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Allocation concealment</w:t>
            </w:r>
          </w:p>
        </w:tc>
        <w:tc>
          <w:tcPr>
            <w:tcW w:w="5812"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3539"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Blinding of participant and personnel</w:t>
            </w:r>
          </w:p>
        </w:tc>
        <w:tc>
          <w:tcPr>
            <w:tcW w:w="5812"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w:t>
            </w:r>
          </w:p>
          <w:p w:rsidR="00EA7D99" w:rsidRPr="00F7606D" w:rsidRDefault="00EA7D99" w:rsidP="00EA7D99">
            <w:pPr>
              <w:spacing w:line="240" w:lineRule="auto"/>
              <w:contextualSpacing/>
              <w:jc w:val="both"/>
              <w:rPr>
                <w:szCs w:val="22"/>
                <w:lang w:val="en-GB"/>
              </w:rPr>
            </w:pPr>
            <w:r w:rsidRPr="00F7606D">
              <w:rPr>
                <w:szCs w:val="22"/>
                <w:lang w:val="en-GB"/>
              </w:rPr>
              <w:t>Rater blinded</w:t>
            </w:r>
          </w:p>
        </w:tc>
      </w:tr>
      <w:tr w:rsidR="00EA7D99" w:rsidRPr="00685670" w:rsidTr="00EA7D99">
        <w:tc>
          <w:tcPr>
            <w:tcW w:w="3539"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Blinding of outcome assessment</w:t>
            </w:r>
          </w:p>
        </w:tc>
        <w:tc>
          <w:tcPr>
            <w:tcW w:w="5812"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rFonts w:eastAsiaTheme="minorHAnsi" w:cs="AdvTT86d47313"/>
                <w:szCs w:val="22"/>
                <w:lang w:val="en-GB" w:eastAsia="en-US"/>
              </w:rPr>
            </w:pPr>
            <w:r w:rsidRPr="00F7606D">
              <w:rPr>
                <w:rFonts w:eastAsiaTheme="minorHAnsi" w:cs="AdvTT86d47313"/>
                <w:szCs w:val="22"/>
                <w:lang w:val="en-GB" w:eastAsia="en-US"/>
              </w:rPr>
              <w:t>Adequate</w:t>
            </w:r>
          </w:p>
          <w:p w:rsidR="00EA7D99" w:rsidRPr="00F7606D" w:rsidRDefault="00EA7D99" w:rsidP="00EA7D99">
            <w:pPr>
              <w:tabs>
                <w:tab w:val="clear" w:pos="510"/>
              </w:tabs>
              <w:autoSpaceDE w:val="0"/>
              <w:autoSpaceDN w:val="0"/>
              <w:adjustRightInd w:val="0"/>
              <w:spacing w:line="240" w:lineRule="auto"/>
              <w:contextualSpacing/>
              <w:rPr>
                <w:rFonts w:eastAsiaTheme="minorHAnsi" w:cs="AdvTT86d47313"/>
                <w:szCs w:val="22"/>
                <w:lang w:val="en-GB" w:eastAsia="en-US"/>
              </w:rPr>
            </w:pPr>
            <w:r w:rsidRPr="00F7606D">
              <w:rPr>
                <w:rFonts w:eastAsiaTheme="minorHAnsi" w:cs="AdvTT86d47313"/>
                <w:szCs w:val="22"/>
                <w:lang w:val="en-GB" w:eastAsia="en-US"/>
              </w:rPr>
              <w:t>“EDSS and relapses assessment was performed by an examining neurologist blinded to treatment.”</w:t>
            </w:r>
          </w:p>
        </w:tc>
      </w:tr>
      <w:tr w:rsidR="00EA7D99" w:rsidRPr="00F7606D" w:rsidTr="00EA7D99">
        <w:tc>
          <w:tcPr>
            <w:tcW w:w="3539"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Incomplete outcome data</w:t>
            </w:r>
          </w:p>
        </w:tc>
        <w:tc>
          <w:tcPr>
            <w:tcW w:w="5812"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rFonts w:eastAsiaTheme="minorHAnsi" w:cs="AdvTT86d47313"/>
                <w:szCs w:val="22"/>
                <w:lang w:val="en-GB" w:eastAsia="en-US"/>
              </w:rPr>
            </w:pPr>
            <w:r w:rsidRPr="00F7606D">
              <w:rPr>
                <w:rFonts w:eastAsiaTheme="minorHAnsi" w:cs="AdvTT86d47313"/>
                <w:szCs w:val="22"/>
                <w:lang w:val="en-GB" w:eastAsia="en-US"/>
              </w:rPr>
              <w:t>Analysis was based on intention to treat.</w:t>
            </w:r>
          </w:p>
          <w:p w:rsidR="00EA7D99" w:rsidRPr="00F7606D" w:rsidRDefault="00EA7D99" w:rsidP="00EA7D99">
            <w:pPr>
              <w:spacing w:line="240" w:lineRule="auto"/>
              <w:contextualSpacing/>
              <w:rPr>
                <w:rFonts w:eastAsia="ScalaLancetPro"/>
                <w:szCs w:val="22"/>
                <w:lang w:val="en-GB" w:eastAsia="en-US"/>
              </w:rPr>
            </w:pPr>
            <w:r w:rsidRPr="00F7606D">
              <w:rPr>
                <w:rFonts w:eastAsia="ScalaLancetPro"/>
                <w:szCs w:val="22"/>
                <w:lang w:val="en-GB" w:eastAsia="en-US"/>
              </w:rPr>
              <w:t>Withdrawals: 10.5%</w:t>
            </w:r>
          </w:p>
        </w:tc>
      </w:tr>
      <w:tr w:rsidR="00EA7D99" w:rsidRPr="00F7606D" w:rsidTr="00EA7D99">
        <w:tc>
          <w:tcPr>
            <w:tcW w:w="3539"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Selective reporting</w:t>
            </w:r>
          </w:p>
        </w:tc>
        <w:tc>
          <w:tcPr>
            <w:tcW w:w="5812"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None detected</w:t>
            </w:r>
          </w:p>
        </w:tc>
      </w:tr>
      <w:tr w:rsidR="00EA7D99" w:rsidRPr="00685670" w:rsidTr="00EA7D99">
        <w:tc>
          <w:tcPr>
            <w:tcW w:w="3539"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Other sources of bias</w:t>
            </w:r>
          </w:p>
        </w:tc>
        <w:tc>
          <w:tcPr>
            <w:tcW w:w="5812"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szCs w:val="22"/>
                <w:lang w:val="en-GB"/>
              </w:rPr>
            </w:pPr>
            <w:r w:rsidRPr="00F7606D">
              <w:rPr>
                <w:rFonts w:eastAsia="ScalaLancetPro"/>
                <w:szCs w:val="22"/>
                <w:lang w:val="en-GB" w:eastAsia="en-US"/>
              </w:rPr>
              <w:t>Several of the authors report funding from one or several pharmaceutical companies.</w:t>
            </w:r>
          </w:p>
        </w:tc>
      </w:tr>
    </w:tbl>
    <w:p w:rsidR="00EA7D99" w:rsidRPr="00F7606D" w:rsidRDefault="00EA7D99" w:rsidP="00EA7D99">
      <w:pPr>
        <w:spacing w:after="160" w:line="240" w:lineRule="auto"/>
        <w:contextualSpacing/>
        <w:rPr>
          <w:b/>
        </w:rPr>
      </w:pPr>
      <w:r w:rsidRPr="00F7606D">
        <w:rPr>
          <w:b/>
        </w:rPr>
        <w:t>*</w:t>
      </w:r>
      <w:r w:rsidRPr="00F7606D">
        <w:rPr>
          <w:i/>
        </w:rPr>
        <w:t>ACTH: this abbreviation was not explained in the publication</w:t>
      </w:r>
    </w:p>
    <w:p w:rsidR="00EA7D99" w:rsidRPr="00F7606D" w:rsidRDefault="00EA7D99" w:rsidP="00EA7D99">
      <w:pPr>
        <w:spacing w:after="160" w:line="240" w:lineRule="auto"/>
        <w:contextualSpacing/>
        <w:rPr>
          <w:b/>
        </w:rPr>
      </w:pPr>
    </w:p>
    <w:p w:rsidR="00EA7D99" w:rsidRPr="00F7606D" w:rsidRDefault="00EA7D99" w:rsidP="004B4975">
      <w:pPr>
        <w:pStyle w:val="41"/>
        <w:numPr>
          <w:ilvl w:val="0"/>
          <w:numId w:val="0"/>
        </w:numPr>
        <w:spacing w:line="240" w:lineRule="auto"/>
        <w:contextualSpacing/>
        <w:rPr>
          <w:szCs w:val="22"/>
          <w:lang w:val="en-GB"/>
        </w:rPr>
      </w:pPr>
      <w:r w:rsidRPr="00F7606D">
        <w:rPr>
          <w:szCs w:val="22"/>
          <w:lang w:val="en-GB"/>
        </w:rPr>
        <w:t xml:space="preserve">RESTORE-study 2014, Fox et al., </w:t>
      </w:r>
      <w:r w:rsidR="00204467" w:rsidRPr="00F7606D">
        <w:rPr>
          <w:szCs w:val="22"/>
          <w:lang w:val="en-GB"/>
        </w:rPr>
        <w:fldChar w:fldCharType="begin">
          <w:fldData xml:space="preserve">PEVuZE5vdGU+PENpdGU+PEF1dGhvcj5Gb3g8L0F1dGhvcj48WWVhcj4yMDE0PC9ZZWFyPjxSZWNO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</w:fldData>
        </w:fldChar>
      </w:r>
      <w:r w:rsidRPr="00F7606D">
        <w:rPr>
          <w:szCs w:val="22"/>
          <w:lang w:val="en-GB"/>
        </w:rPr>
        <w:instrText xml:space="preserve"> ADDIN EN.CITE </w:instrText>
      </w:r>
      <w:r w:rsidR="00204467" w:rsidRPr="00F7606D">
        <w:rPr>
          <w:szCs w:val="22"/>
          <w:lang w:val="en-GB"/>
        </w:rPr>
        <w:fldChar w:fldCharType="begin">
          <w:fldData xml:space="preserve">PEVuZE5vdGU+PENpdGU+PEF1dGhvcj5Gb3g8L0F1dGhvcj48WWVhcj4yMDE0PC9ZZWFyPjxSZWNO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</w:fldData>
        </w:fldChar>
      </w:r>
      <w:r w:rsidRPr="00F7606D">
        <w:rPr>
          <w:szCs w:val="22"/>
          <w:lang w:val="en-GB"/>
        </w:rPr>
        <w:instrText xml:space="preserve"> ADDIN EN.CITE.DATA </w:instrText>
      </w:r>
      <w:r w:rsidR="00204467" w:rsidRPr="00F7606D">
        <w:rPr>
          <w:szCs w:val="22"/>
          <w:lang w:val="en-GB"/>
        </w:rPr>
      </w:r>
      <w:r w:rsidR="00204467" w:rsidRPr="00F7606D">
        <w:rPr>
          <w:szCs w:val="22"/>
          <w:lang w:val="en-GB"/>
        </w:rPr>
        <w:fldChar w:fldCharType="end"/>
      </w:r>
      <w:r w:rsidR="00204467" w:rsidRPr="00F7606D">
        <w:rPr>
          <w:szCs w:val="22"/>
          <w:lang w:val="en-GB"/>
        </w:rPr>
      </w:r>
      <w:r w:rsidR="00204467" w:rsidRPr="00F7606D">
        <w:rPr>
          <w:szCs w:val="22"/>
          <w:lang w:val="en-GB"/>
        </w:rPr>
        <w:fldChar w:fldCharType="separate"/>
      </w:r>
      <w:r w:rsidRPr="00F7606D">
        <w:rPr>
          <w:noProof/>
          <w:szCs w:val="22"/>
          <w:lang w:val="en-GB"/>
        </w:rPr>
        <w:t>(</w:t>
      </w:r>
      <w:r w:rsidR="00852BF9">
        <w:rPr>
          <w:noProof/>
          <w:szCs w:val="22"/>
          <w:lang w:val="en-GB"/>
        </w:rPr>
        <w:t>2014</w:t>
      </w:r>
      <w:r w:rsidRPr="00F7606D">
        <w:rPr>
          <w:noProof/>
          <w:szCs w:val="22"/>
          <w:lang w:val="en-GB"/>
        </w:rPr>
        <w:t>)</w:t>
      </w:r>
      <w:r w:rsidR="00204467" w:rsidRPr="00F7606D">
        <w:rPr>
          <w:szCs w:val="22"/>
          <w:lang w:val="en-GB"/>
        </w:rPr>
        <w:fldChar w:fldCharType="end"/>
      </w:r>
      <w:r w:rsidRPr="00F7606D">
        <w:rPr>
          <w:szCs w:val="22"/>
          <w:lang w:val="en-GB"/>
        </w:rPr>
        <w:t xml:space="preserve">, not included in </w:t>
      </w:r>
      <w:r w:rsidR="00663354">
        <w:rPr>
          <w:szCs w:val="22"/>
          <w:lang w:val="en-GB"/>
        </w:rPr>
        <w:t>Tran</w:t>
      </w:r>
      <w:r w:rsidRPr="00F7606D">
        <w:rPr>
          <w:szCs w:val="22"/>
          <w:lang w:val="en-GB"/>
        </w:rPr>
        <w:t xml:space="preserve"> et al.  </w:t>
      </w:r>
      <w:r w:rsidR="00852BF9">
        <w:rPr>
          <w:szCs w:val="22"/>
          <w:lang w:val="en-GB"/>
        </w:rPr>
        <w:t>(2013)</w:t>
      </w:r>
    </w:p>
    <w:tbl>
      <w:tblPr>
        <w:tblStyle w:val="afff"/>
        <w:tblW w:w="9351" w:type="dxa"/>
        <w:tblLook w:val="04A0"/>
      </w:tblPr>
      <w:tblGrid>
        <w:gridCol w:w="2687"/>
        <w:gridCol w:w="1986"/>
        <w:gridCol w:w="4678"/>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cs="AdvOT35fdff1a"/>
                <w:color w:val="231F20"/>
                <w:szCs w:val="22"/>
                <w:lang w:val="en-GB" w:eastAsia="en-US"/>
              </w:rPr>
              <w:t>NCT01071083</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rFonts w:eastAsiaTheme="minorHAnsi" w:cs="AdvOT35fdff1a"/>
                <w:color w:val="231F20"/>
                <w:szCs w:val="22"/>
                <w:lang w:val="en-GB" w:eastAsia="en-US"/>
              </w:rPr>
            </w:pPr>
            <w:r w:rsidRPr="00F7606D">
              <w:rPr>
                <w:rFonts w:eastAsiaTheme="minorHAnsi" w:cs="AdvOT35fdff1a"/>
                <w:color w:val="231F20"/>
                <w:szCs w:val="22"/>
                <w:lang w:val="en-GB" w:eastAsia="en-US"/>
              </w:rPr>
              <w:t>Randomized, partially placebo-controlled study. 31 sites in North America and Europe</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OT35fdff1a"/>
                <w:color w:val="231F20"/>
                <w:szCs w:val="22"/>
                <w:lang w:val="en-GB" w:eastAsia="en-US"/>
              </w:rPr>
            </w:pPr>
            <w:r w:rsidRPr="00F7606D">
              <w:rPr>
                <w:rFonts w:eastAsiaTheme="minorHAnsi" w:cs="AdvOT35fdff1a"/>
                <w:i/>
                <w:color w:val="231F20"/>
                <w:szCs w:val="22"/>
                <w:u w:val="single"/>
                <w:lang w:val="en-GB" w:eastAsia="en-US"/>
              </w:rPr>
              <w:t>Eligibility criteria:</w:t>
            </w:r>
            <w:r w:rsidRPr="00F7606D">
              <w:rPr>
                <w:rFonts w:eastAsiaTheme="minorHAnsi" w:cs="AdvOT35fdff1a"/>
                <w:color w:val="231F20"/>
                <w:szCs w:val="22"/>
                <w:lang w:val="en-GB" w:eastAsia="en-US"/>
              </w:rPr>
              <w:t xml:space="preserve"> Patients with RRMS receiving natalizumab, aged 18 and 60 years, who had been treated with natalizumab for at least 12 months prior to randomization and who had no relapses during those 12 months.</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OT35fdff1a"/>
                <w:color w:val="231F20"/>
                <w:szCs w:val="22"/>
                <w:lang w:val="en-GB" w:eastAsia="en-US"/>
              </w:rPr>
            </w:pPr>
            <w:r w:rsidRPr="00F7606D">
              <w:rPr>
                <w:rFonts w:eastAsiaTheme="minorHAnsi" w:cs="AdvOT35fdff1a"/>
                <w:i/>
                <w:color w:val="231F20"/>
                <w:szCs w:val="22"/>
                <w:u w:val="single"/>
                <w:lang w:val="en-GB" w:eastAsia="en-US"/>
              </w:rPr>
              <w:t>Key exclusion criteria:</w:t>
            </w:r>
            <w:r w:rsidRPr="00F7606D">
              <w:rPr>
                <w:rFonts w:eastAsiaTheme="minorHAnsi" w:cs="AdvOT35fdff1a"/>
                <w:color w:val="231F20"/>
                <w:szCs w:val="22"/>
                <w:lang w:val="en-GB" w:eastAsia="en-US"/>
              </w:rPr>
              <w:t xml:space="preserve"> presence of gadolinium enhancing lesions; presence of antinatalizumab antibodies; immunosuppressive treatment within 24 months prior to randomization; treatment with IV immunoglobulin, plasmapheresis, or cytapheresis within 12 months prior to randomization; or treatment with systemic corticosteroids within 3 months prior to randomization.</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AGaramond-R"/>
                <w:i/>
                <w:color w:val="231F20"/>
                <w:szCs w:val="22"/>
                <w:u w:val="single"/>
                <w:lang w:val="en-GB" w:eastAsia="en-US"/>
              </w:rPr>
              <w:t>Baseline characteristics in placebo group</w:t>
            </w:r>
            <w:r w:rsidRPr="00F7606D">
              <w:rPr>
                <w:rFonts w:eastAsiaTheme="minorHAnsi" w:cs="AdvAGaramond-R"/>
                <w:i/>
                <w:color w:val="231F20"/>
                <w:szCs w:val="22"/>
                <w:lang w:val="en-GB" w:eastAsia="en-US"/>
              </w:rPr>
              <w:t>:</w:t>
            </w:r>
            <w:r w:rsidRPr="00F7606D">
              <w:rPr>
                <w:rFonts w:eastAsiaTheme="minorHAnsi" w:cs="AdvAGaramond-R"/>
                <w:color w:val="231F20"/>
                <w:szCs w:val="22"/>
                <w:lang w:val="en-GB" w:eastAsia="en-US"/>
              </w:rPr>
              <w:t xml:space="preserve"> Age: 40 +/- 10; 74% female; EDSS: 3.3 +/-1.8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spacing w:line="240" w:lineRule="auto"/>
              <w:contextualSpacing/>
              <w:rPr>
                <w:rFonts w:cs="Arial"/>
                <w:color w:val="000000"/>
                <w:szCs w:val="22"/>
                <w:lang w:val="en-GB" w:eastAsia="en-US"/>
              </w:rPr>
            </w:pPr>
            <w:r w:rsidRPr="00F7606D">
              <w:rPr>
                <w:szCs w:val="22"/>
                <w:lang w:val="en-GB"/>
              </w:rPr>
              <w:t>Nata</w:t>
            </w:r>
            <w:r w:rsidRPr="00F7606D">
              <w:rPr>
                <w:rFonts w:cs="Arial"/>
                <w:color w:val="000000"/>
                <w:szCs w:val="22"/>
                <w:shd w:val="clear" w:color="auto" w:fill="FFFFFF"/>
                <w:lang w:val="en-GB" w:eastAsia="en-US"/>
              </w:rPr>
              <w:t>lizumab</w:t>
            </w:r>
            <w:r w:rsidRPr="00F7606D">
              <w:rPr>
                <w:szCs w:val="22"/>
                <w:lang w:val="en-GB" w:eastAsia="en-US"/>
              </w:rPr>
              <w:t xml:space="preserve"> </w:t>
            </w:r>
            <w:r w:rsidRPr="00F7606D">
              <w:rPr>
                <w:rFonts w:cs="Arial"/>
                <w:color w:val="000000"/>
                <w:szCs w:val="22"/>
                <w:lang w:val="en-GB" w:eastAsia="en-US"/>
              </w:rPr>
              <w:t>300 mg IV every 4 weeks (n=45)</w:t>
            </w:r>
          </w:p>
          <w:p w:rsidR="00EA7D99" w:rsidRPr="00F7606D" w:rsidRDefault="00EA7D99" w:rsidP="00EA7D99">
            <w:pPr>
              <w:tabs>
                <w:tab w:val="clear" w:pos="510"/>
              </w:tabs>
              <w:autoSpaceDE w:val="0"/>
              <w:autoSpaceDN w:val="0"/>
              <w:adjustRightInd w:val="0"/>
              <w:spacing w:line="240" w:lineRule="auto"/>
              <w:contextualSpacing/>
              <w:rPr>
                <w:szCs w:val="22"/>
                <w:lang w:val="en-GB"/>
              </w:rPr>
            </w:pPr>
            <w:r w:rsidRPr="00F7606D">
              <w:rPr>
                <w:rFonts w:eastAsiaTheme="minorHAnsi" w:cs="AdvOT35fdff1a"/>
                <w:color w:val="231F20"/>
                <w:szCs w:val="22"/>
                <w:lang w:val="en-GB" w:eastAsia="en-US"/>
              </w:rPr>
              <w:t xml:space="preserve">Alternate immunomodulatory therapy (IM interferon </w:t>
            </w:r>
            <w:r w:rsidRPr="00F7606D">
              <w:rPr>
                <w:rFonts w:eastAsiaTheme="minorHAnsi" w:cs="AdvPS7DA6"/>
                <w:color w:val="231F20"/>
                <w:szCs w:val="22"/>
                <w:lang w:val="en-GB" w:eastAsia="en-US"/>
              </w:rPr>
              <w:t>b</w:t>
            </w:r>
            <w:r w:rsidRPr="00F7606D">
              <w:rPr>
                <w:rFonts w:eastAsiaTheme="minorHAnsi" w:cs="AdvOT35fdff1a"/>
                <w:color w:val="231F20"/>
                <w:szCs w:val="22"/>
                <w:lang w:val="en-GB" w:eastAsia="en-US"/>
              </w:rPr>
              <w:t xml:space="preserve">-1a, glatiramer acetate, or methylprednisolone (n=88) </w:t>
            </w:r>
            <w:r w:rsidRPr="00F7606D">
              <w:rPr>
                <w:rFonts w:cs="Arial"/>
                <w:color w:val="000000"/>
                <w:szCs w:val="22"/>
                <w:shd w:val="clear" w:color="auto" w:fill="FFFFFF"/>
                <w:lang w:val="en-GB"/>
              </w:rPr>
              <w:t xml:space="preserve">[not included as </w:t>
            </w:r>
            <w:r w:rsidRPr="00F7606D">
              <w:rPr>
                <w:rFonts w:eastAsiaTheme="minorHAnsi" w:cs="AdvOT35fdff1a"/>
                <w:color w:val="231F20"/>
                <w:szCs w:val="22"/>
                <w:lang w:val="en-GB" w:eastAsia="en-US"/>
              </w:rPr>
              <w:t>patients and their neurologist selected the immunomodulatory therapy on an individual basis; as such, the distribution of patients receiving IM IFN-</w:t>
            </w:r>
            <w:r w:rsidRPr="00F7606D">
              <w:rPr>
                <w:rFonts w:eastAsiaTheme="minorHAnsi" w:cs="AdvPS7DA6"/>
                <w:color w:val="231F20"/>
                <w:szCs w:val="22"/>
                <w:lang w:val="en-GB" w:eastAsia="en-US"/>
              </w:rPr>
              <w:t>b</w:t>
            </w:r>
            <w:r w:rsidRPr="00F7606D">
              <w:rPr>
                <w:rFonts w:eastAsiaTheme="minorHAnsi" w:cs="AdvOT35fdff1a"/>
                <w:color w:val="231F20"/>
                <w:szCs w:val="22"/>
                <w:lang w:val="en-GB" w:eastAsia="en-US"/>
              </w:rPr>
              <w:t>-1a, GA, and MP was not randomized, and the groups were unbalanced]</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spacing w:line="240" w:lineRule="auto"/>
              <w:contextualSpacing/>
              <w:rPr>
                <w:szCs w:val="22"/>
                <w:lang w:val="en-GB"/>
              </w:rPr>
            </w:pPr>
            <w:r w:rsidRPr="00F7606D">
              <w:rPr>
                <w:rFonts w:cs="Arial"/>
                <w:color w:val="000000"/>
                <w:szCs w:val="22"/>
                <w:shd w:val="clear" w:color="auto" w:fill="FFFFFF"/>
                <w:lang w:val="en-GB"/>
              </w:rPr>
              <w:t>Placebo IV every 4 weeks (n=42)</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szCs w:val="22"/>
                <w:lang w:val="en-GB"/>
              </w:rPr>
              <w:t>Relapse</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szCs w:val="22"/>
                <w:lang w:val="en-GB"/>
              </w:rPr>
              <w:t>Quality of life’</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szCs w:val="22"/>
                <w:lang w:val="en-GB"/>
              </w:rPr>
              <w:t>Withdrawal due to adverse events</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szCs w:val="22"/>
                <w:lang w:val="en-GB"/>
              </w:rPr>
              <w:t xml:space="preserve">Deaths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p w:rsidR="00EA7D99" w:rsidRPr="00F7606D" w:rsidRDefault="00EA7D99" w:rsidP="00EA7D99">
            <w:pPr>
              <w:tabs>
                <w:tab w:val="clear" w:pos="510"/>
              </w:tabs>
              <w:autoSpaceDE w:val="0"/>
              <w:autoSpaceDN w:val="0"/>
              <w:adjustRightInd w:val="0"/>
              <w:spacing w:line="240" w:lineRule="auto"/>
              <w:contextualSpacing/>
              <w:rPr>
                <w:szCs w:val="22"/>
                <w:lang w:val="en-GB"/>
              </w:rPr>
            </w:pPr>
            <w:r w:rsidRPr="00F7606D">
              <w:rPr>
                <w:rFonts w:eastAsiaTheme="minorHAnsi" w:cs="AdvOT35fdff1a"/>
                <w:color w:val="231F20"/>
                <w:szCs w:val="22"/>
                <w:lang w:val="en-GB" w:eastAsia="en-US"/>
              </w:rPr>
              <w:t>Definition used: Radiographic and clinical disease activity. Quality of life  with Visual Analogue Scale, and Modified Fatigue Impact Scale, and cognition (Symbol Digit Modalities Test (SDMT)). Disability progression with EDSS.</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 xml:space="preserve">24 weeks (52 weeks but at </w:t>
            </w:r>
            <w:r w:rsidRPr="00F7606D">
              <w:rPr>
                <w:rFonts w:eastAsiaTheme="minorHAnsi" w:cs="AdvOT35fdff1a"/>
                <w:color w:val="231F20"/>
                <w:szCs w:val="22"/>
                <w:lang w:val="en-GB" w:eastAsia="en-US"/>
              </w:rPr>
              <w:t>week 28, patients resumed open-label infusions of natalizumab)</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szCs w:val="22"/>
                <w:lang w:val="en-GB"/>
              </w:rPr>
            </w:pPr>
            <w:r w:rsidRPr="00F7606D">
              <w:rPr>
                <w:rFonts w:eastAsiaTheme="minorHAnsi" w:cs="AdvOT35fdff1a"/>
                <w:color w:val="231F20"/>
                <w:szCs w:val="22"/>
                <w:lang w:val="en-GB" w:eastAsia="en-US"/>
              </w:rPr>
              <w:t>Treatment experienced ( all groups received natalizumab at day 0)</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Risk of Bias</w:t>
            </w:r>
          </w:p>
        </w:tc>
      </w:tr>
      <w:tr w:rsidR="00EA7D99" w:rsidRPr="00F7606D" w:rsidTr="00EA7D99">
        <w:tc>
          <w:tcPr>
            <w:tcW w:w="4673"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Random sequence generation</w:t>
            </w:r>
          </w:p>
        </w:tc>
        <w:tc>
          <w:tcPr>
            <w:tcW w:w="4678"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szCs w:val="22"/>
                <w:lang w:val="en-GB"/>
              </w:rPr>
            </w:pPr>
            <w:r w:rsidRPr="00F7606D">
              <w:rPr>
                <w:szCs w:val="22"/>
                <w:lang w:val="en-GB"/>
              </w:rPr>
              <w:t>Adequate</w:t>
            </w:r>
          </w:p>
        </w:tc>
      </w:tr>
      <w:tr w:rsidR="00EA7D99" w:rsidRPr="00685670" w:rsidTr="00EA7D99">
        <w:tc>
          <w:tcPr>
            <w:tcW w:w="4673"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Allocation concealment</w:t>
            </w:r>
          </w:p>
        </w:tc>
        <w:tc>
          <w:tcPr>
            <w:tcW w:w="4678"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p w:rsidR="00EA7D99" w:rsidRPr="00F7606D" w:rsidRDefault="00EA7D99" w:rsidP="00EA7D99">
            <w:pPr>
              <w:spacing w:line="240" w:lineRule="auto"/>
              <w:contextualSpacing/>
              <w:jc w:val="both"/>
              <w:rPr>
                <w:szCs w:val="22"/>
                <w:lang w:val="en-GB"/>
              </w:rPr>
            </w:pPr>
            <w:r w:rsidRPr="00F7606D">
              <w:rPr>
                <w:szCs w:val="22"/>
                <w:lang w:val="en-GB"/>
              </w:rPr>
              <w:t>For arms natalizumab + placebo</w:t>
            </w:r>
          </w:p>
        </w:tc>
      </w:tr>
      <w:tr w:rsidR="00EA7D99" w:rsidRPr="00685670" w:rsidTr="00EA7D99">
        <w:tc>
          <w:tcPr>
            <w:tcW w:w="4673"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Blinding of participant and personnel</w:t>
            </w:r>
          </w:p>
        </w:tc>
        <w:tc>
          <w:tcPr>
            <w:tcW w:w="4678"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p w:rsidR="00EA7D99" w:rsidRPr="00F7606D" w:rsidRDefault="00EA7D99" w:rsidP="00EA7D99">
            <w:pPr>
              <w:spacing w:line="240" w:lineRule="auto"/>
              <w:contextualSpacing/>
              <w:jc w:val="both"/>
              <w:rPr>
                <w:szCs w:val="22"/>
                <w:lang w:val="en-GB"/>
              </w:rPr>
            </w:pPr>
            <w:r w:rsidRPr="00F7606D">
              <w:rPr>
                <w:szCs w:val="22"/>
                <w:lang w:val="en-GB"/>
              </w:rPr>
              <w:t>For arms natalizumab + placebo</w:t>
            </w:r>
          </w:p>
        </w:tc>
      </w:tr>
      <w:tr w:rsidR="00EA7D99" w:rsidRPr="00685670" w:rsidTr="00EA7D99">
        <w:tc>
          <w:tcPr>
            <w:tcW w:w="4673"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Blinding of outcome assessment</w:t>
            </w:r>
          </w:p>
        </w:tc>
        <w:tc>
          <w:tcPr>
            <w:tcW w:w="4678"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p w:rsidR="00EA7D99" w:rsidRPr="00F7606D" w:rsidRDefault="00EA7D99" w:rsidP="00EA7D99">
            <w:pPr>
              <w:spacing w:line="240" w:lineRule="auto"/>
              <w:contextualSpacing/>
              <w:jc w:val="both"/>
              <w:rPr>
                <w:szCs w:val="22"/>
                <w:lang w:val="en-GB"/>
              </w:rPr>
            </w:pPr>
            <w:r w:rsidRPr="00F7606D">
              <w:rPr>
                <w:szCs w:val="22"/>
                <w:lang w:val="en-GB"/>
              </w:rPr>
              <w:t>For arms natalizumab + placebo</w:t>
            </w:r>
          </w:p>
        </w:tc>
      </w:tr>
      <w:tr w:rsidR="00EA7D99" w:rsidRPr="00F7606D" w:rsidTr="00EA7D99">
        <w:tc>
          <w:tcPr>
            <w:tcW w:w="4673"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Incomplete outcome data</w:t>
            </w:r>
          </w:p>
        </w:tc>
        <w:tc>
          <w:tcPr>
            <w:tcW w:w="4678"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rFonts w:eastAsiaTheme="minorHAnsi" w:cs="AdvOT35fdff1a"/>
                <w:color w:val="231F20"/>
                <w:szCs w:val="22"/>
                <w:lang w:val="en-GB" w:eastAsia="en-US"/>
              </w:rPr>
            </w:pPr>
            <w:r w:rsidRPr="00F7606D">
              <w:rPr>
                <w:rFonts w:eastAsiaTheme="minorHAnsi" w:cs="AdvOT35fdff1a"/>
                <w:color w:val="231F20"/>
                <w:szCs w:val="22"/>
                <w:lang w:val="en-GB" w:eastAsia="en-US"/>
              </w:rPr>
              <w:t>Adequate</w:t>
            </w:r>
          </w:p>
        </w:tc>
      </w:tr>
      <w:tr w:rsidR="00EA7D99" w:rsidRPr="00F7606D" w:rsidTr="00EA7D99">
        <w:tc>
          <w:tcPr>
            <w:tcW w:w="4673"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Selective reporting</w:t>
            </w:r>
          </w:p>
        </w:tc>
        <w:tc>
          <w:tcPr>
            <w:tcW w:w="4678"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Not detected</w:t>
            </w:r>
          </w:p>
        </w:tc>
      </w:tr>
      <w:tr w:rsidR="00EA7D99" w:rsidRPr="00F7606D" w:rsidTr="00EA7D99">
        <w:tc>
          <w:tcPr>
            <w:tcW w:w="4673"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Other sources of bias</w:t>
            </w:r>
          </w:p>
        </w:tc>
        <w:tc>
          <w:tcPr>
            <w:tcW w:w="4678"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rFonts w:eastAsia="ScalaLancetPro"/>
                <w:szCs w:val="22"/>
                <w:lang w:val="en-GB" w:eastAsia="en-US"/>
              </w:rPr>
            </w:pPr>
            <w:r w:rsidRPr="00F7606D">
              <w:rPr>
                <w:rFonts w:eastAsiaTheme="minorHAnsi" w:cs="AdvOT35fdff1a"/>
                <w:color w:val="231F20"/>
                <w:szCs w:val="22"/>
                <w:lang w:val="en-GB" w:eastAsia="en-US"/>
              </w:rPr>
              <w:t>Funding: manufacturer</w:t>
            </w:r>
            <w:r w:rsidRPr="00F7606D">
              <w:rPr>
                <w:rFonts w:eastAsia="ScalaLancetPro"/>
                <w:szCs w:val="22"/>
                <w:lang w:val="en-GB" w:eastAsia="en-US"/>
              </w:rPr>
              <w:t>.</w:t>
            </w:r>
          </w:p>
        </w:tc>
      </w:tr>
    </w:tbl>
    <w:p w:rsidR="00EA7D99" w:rsidRPr="00F7606D" w:rsidRDefault="00EA7D99" w:rsidP="00EA7D99">
      <w:pPr>
        <w:spacing w:line="240" w:lineRule="auto"/>
        <w:contextualSpacing/>
        <w:rPr>
          <w:b/>
        </w:rPr>
      </w:pPr>
    </w:p>
    <w:p w:rsidR="00EA7D99" w:rsidRPr="00F7606D" w:rsidRDefault="00EA7D99" w:rsidP="004B4975">
      <w:pPr>
        <w:pStyle w:val="41"/>
        <w:numPr>
          <w:ilvl w:val="0"/>
          <w:numId w:val="0"/>
        </w:numPr>
        <w:spacing w:line="240" w:lineRule="auto"/>
        <w:contextualSpacing/>
        <w:jc w:val="both"/>
        <w:rPr>
          <w:szCs w:val="22"/>
          <w:lang w:val="en-GB"/>
        </w:rPr>
      </w:pPr>
      <w:r w:rsidRPr="00F7606D">
        <w:rPr>
          <w:szCs w:val="22"/>
          <w:lang w:val="en-GB"/>
        </w:rPr>
        <w:t xml:space="preserve">Zecca et al., </w:t>
      </w:r>
      <w:r w:rsidR="00852BF9">
        <w:rPr>
          <w:szCs w:val="22"/>
          <w:lang w:val="en-GB"/>
        </w:rPr>
        <w:t>(</w:t>
      </w:r>
      <w:r w:rsidRPr="00F7606D">
        <w:rPr>
          <w:szCs w:val="22"/>
          <w:lang w:val="en-GB"/>
        </w:rPr>
        <w:t>2014</w:t>
      </w:r>
      <w:r w:rsidR="00204467" w:rsidRPr="00F7606D">
        <w:rPr>
          <w:szCs w:val="22"/>
          <w:lang w:val="en-GB"/>
        </w:rPr>
        <w:fldChar w:fldCharType="begin"/>
      </w:r>
      <w:r w:rsidRPr="00F7606D">
        <w:rPr>
          <w:szCs w:val="22"/>
          <w:lang w:val="en-GB"/>
        </w:rPr>
        <w:instrText xml:space="preserve"> ADDIN EN.CITE &lt;EndNote&gt;&lt;Cite&gt;&lt;Author&gt;Zecca&lt;/Author&gt;&lt;Year&gt;2014&lt;/Year&gt;&lt;RecNum&gt;684&lt;/RecNum&gt;&lt;DisplayText&gt;(32)&lt;/DisplayText&gt;&lt;record&gt;&lt;rec-number&gt;684&lt;/rec-number&gt;&lt;foreign-keys&gt;&lt;key app="EN" db-id="e9599aspizr5wce0e5e525zxzawvf0wprt09" timestamp="1424957036"&gt;684&lt;/key&gt;&lt;/foreign-keys&gt;&lt;ref-type name="Journal Article"&gt;17&lt;/ref-type&gt;&lt;contributors&gt;&lt;authors&gt;&lt;author&gt;Zecca, C.&lt;/author&gt;&lt;author&gt;Riccitelli, G. C.&lt;/author&gt;&lt;author&gt;Calabrese, P.&lt;/author&gt;&lt;author&gt;Pravata, E.&lt;/author&gt;&lt;author&gt;Candrian, U.&lt;/author&gt;&lt;author&gt;Guttmann, C. R.&lt;/author&gt;&lt;author&gt;Gobbi, C.&lt;/author&gt;&lt;/authors&gt;&lt;/contributors&gt;&lt;auth-address&gt;Gobbi,Claudio. Neurocentre of Southern Switzerland, Ospedale regionale di Lugano, Lugano, Switzerland. claudio.gobbi@eoc.ch.&lt;/auth-address&gt;&lt;titles&gt;&lt;title&gt;Treatment satisfaction, adherence and behavioral assessment in patients de-escalating from natalizumab to interferon beta&lt;/title&gt;&lt;secondary-title&gt;BMC Neurology&lt;/secondary-title&gt;&lt;/titles&gt;&lt;periodical&gt;&lt;full-title&gt;BMC Neurology&lt;/full-title&gt;&lt;abbr-1&gt;BMC Neurol.&lt;/abbr-1&gt;&lt;abbr-2&gt;BMC Neurol&lt;/abbr-2&gt;&lt;/periodical&gt;&lt;pages&gt;38&lt;/pages&gt;&lt;volume&gt;14&lt;/volume&gt;&lt;dates&gt;&lt;year&gt;2014&lt;/year&gt;&lt;/dates&gt;&lt;accession-num&gt;24576156&lt;/accession-num&gt;&lt;work-type&gt;Randomized Controlled Trial&lt;/work-type&gt;&lt;urls&gt;&lt;related-urls&gt;&lt;url&gt;http://ovidsp.ovid.com/ovidweb.cgi?T=JS&amp;amp;CSC=Y&amp;amp;NEWS=N&amp;amp;PAGE=fulltext&amp;amp;D=medl&amp;amp;AN=24576156&lt;/url&gt;&lt;/related-urls&gt;&lt;/urls&gt;&lt;custom1&gt;search_RCT&lt;/custom1&gt;&lt;custom2&gt;abstract_selected_RCT&lt;/custom2&gt;&lt;custom3&gt;T3-include&lt;/custom3&gt;&lt;custom5&gt; Zecca et al.&lt;/custom5&gt;&lt;remote-database-name&gt;MEDLINE&lt;/remote-database-name&gt;&lt;remote-database-provider&gt;Ovid Technologies&lt;/remote-database-provider&gt;&lt;/record&gt;&lt;/Cite&gt;&lt;/EndNote&gt;</w:instrText>
      </w:r>
      <w:r w:rsidR="00204467" w:rsidRPr="00F7606D">
        <w:rPr>
          <w:szCs w:val="22"/>
          <w:lang w:val="en-GB"/>
        </w:rPr>
        <w:fldChar w:fldCharType="separate"/>
      </w:r>
      <w:r w:rsidRPr="00F7606D">
        <w:rPr>
          <w:noProof/>
          <w:szCs w:val="22"/>
          <w:lang w:val="en-GB"/>
        </w:rPr>
        <w:t>)</w:t>
      </w:r>
      <w:r w:rsidR="00204467" w:rsidRPr="00F7606D">
        <w:rPr>
          <w:szCs w:val="22"/>
          <w:lang w:val="en-GB"/>
        </w:rPr>
        <w:fldChar w:fldCharType="end"/>
      </w:r>
      <w:r w:rsidRPr="00F7606D">
        <w:rPr>
          <w:szCs w:val="22"/>
          <w:lang w:val="en-GB"/>
        </w:rPr>
        <w:t xml:space="preserve">, not included in </w:t>
      </w:r>
      <w:r w:rsidR="00663354">
        <w:rPr>
          <w:szCs w:val="22"/>
          <w:lang w:val="en-GB"/>
        </w:rPr>
        <w:t>Tran</w:t>
      </w:r>
      <w:r w:rsidRPr="00F7606D">
        <w:rPr>
          <w:szCs w:val="22"/>
          <w:lang w:val="en-GB"/>
        </w:rPr>
        <w:t xml:space="preserve"> et al. </w:t>
      </w:r>
      <w:r w:rsidR="00852BF9">
        <w:rPr>
          <w:szCs w:val="22"/>
          <w:lang w:val="en-GB"/>
        </w:rPr>
        <w:t>(2013)</w:t>
      </w:r>
    </w:p>
    <w:tbl>
      <w:tblPr>
        <w:tblStyle w:val="afff"/>
        <w:tblW w:w="9351" w:type="dxa"/>
        <w:tblLook w:val="04A0"/>
      </w:tblPr>
      <w:tblGrid>
        <w:gridCol w:w="2687"/>
        <w:gridCol w:w="2128"/>
        <w:gridCol w:w="4536"/>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cs="AdvTT86d47313"/>
                <w:szCs w:val="22"/>
                <w:lang w:val="en-GB" w:eastAsia="en-US"/>
              </w:rPr>
              <w:t>NCT1144052,</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cs="AdvTTb5929f4c"/>
                <w:szCs w:val="22"/>
                <w:lang w:val="en-GB" w:eastAsia="en-US"/>
              </w:rPr>
              <w:t xml:space="preserve">Randomized, rater-blinded, parallel-group study, </w:t>
            </w:r>
            <w:r w:rsidRPr="00F7606D">
              <w:rPr>
                <w:rFonts w:eastAsiaTheme="minorHAnsi"/>
                <w:szCs w:val="22"/>
                <w:lang w:val="en-GB" w:eastAsia="en-US"/>
              </w:rPr>
              <w:t>single center, Switzerland</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TT86d47313"/>
                <w:szCs w:val="22"/>
                <w:lang w:val="en-GB" w:eastAsia="en-US"/>
              </w:rPr>
            </w:pPr>
            <w:r w:rsidRPr="00F7606D">
              <w:rPr>
                <w:rFonts w:eastAsiaTheme="minorHAnsi" w:cs="AdvTT86d47313"/>
                <w:i/>
                <w:szCs w:val="22"/>
                <w:u w:val="single"/>
                <w:lang w:val="en-GB" w:eastAsia="en-US"/>
              </w:rPr>
              <w:t>Eligibility criteria:</w:t>
            </w:r>
            <w:r w:rsidRPr="00F7606D">
              <w:rPr>
                <w:rFonts w:eastAsiaTheme="minorHAnsi" w:cs="AdvTT86d47313"/>
                <w:szCs w:val="22"/>
                <w:lang w:val="en-GB" w:eastAsia="en-US"/>
              </w:rPr>
              <w:t xml:space="preserve"> Age between 18 and 60, being at significant risk for (i.e. NTZ treatment duration equal to or greater than 12 months) or fear of PML, and being free of disease activity (free from relapses and disability progression for at least 6 months and no gadolinium enhancing lesions [Gd + L] on baseline [BL] MRI). RRMS according to 2005 McDonald criteria [13] from 2010 to 2011</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TT86d47313"/>
                <w:szCs w:val="22"/>
                <w:u w:val="single"/>
                <w:lang w:val="en-GB" w:eastAsia="en-US"/>
              </w:rPr>
            </w:pPr>
            <w:r w:rsidRPr="00F7606D">
              <w:rPr>
                <w:rFonts w:eastAsiaTheme="minorHAnsi" w:cs="AdvTT86d47313"/>
                <w:i/>
                <w:szCs w:val="22"/>
                <w:u w:val="single"/>
                <w:lang w:val="en-GB" w:eastAsia="en-US"/>
              </w:rPr>
              <w:t>Baseline characteristics in Interferon group:</w:t>
            </w:r>
            <w:r w:rsidRPr="00F7606D">
              <w:rPr>
                <w:rFonts w:eastAsiaTheme="minorHAnsi" w:cs="AdvTT86d47313"/>
                <w:szCs w:val="22"/>
                <w:u w:val="single"/>
                <w:lang w:val="en-GB" w:eastAsia="en-US"/>
              </w:rPr>
              <w:t xml:space="preserve"> </w:t>
            </w:r>
            <w:r w:rsidRPr="00F7606D">
              <w:rPr>
                <w:rFonts w:eastAsiaTheme="minorHAnsi" w:cs="AdvTT86d47313"/>
                <w:szCs w:val="22"/>
                <w:lang w:val="en-GB" w:eastAsia="en-US"/>
              </w:rPr>
              <w:t xml:space="preserve">Mean (range) 39 (24-48) ; 33% female (3/9); EDSS median (range) 3,0 (1,5-3,5)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TT86d47313"/>
                <w:szCs w:val="22"/>
                <w:lang w:val="en-GB" w:eastAsia="en-US"/>
              </w:rPr>
              <w:t>Continue Natalizumab monthly intravenous (i.v.) 300 mg (n=10)</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TT86d47313"/>
                <w:szCs w:val="22"/>
                <w:lang w:val="en-GB" w:eastAsia="en-US"/>
              </w:rPr>
            </w:pPr>
            <w:r w:rsidRPr="00F7606D">
              <w:rPr>
                <w:rFonts w:eastAsiaTheme="minorHAnsi" w:cs="AdvTT86d47313"/>
                <w:szCs w:val="22"/>
                <w:lang w:val="en-GB" w:eastAsia="en-US"/>
              </w:rPr>
              <w:t xml:space="preserve">De-escalate to interferon beta 1b subcutaneous (s.c.) 250 </w:t>
            </w:r>
            <w:r w:rsidRPr="00F7606D">
              <w:rPr>
                <w:rFonts w:eastAsiaTheme="minorHAnsi" w:cs="AdvTT86d47313+03"/>
                <w:szCs w:val="22"/>
                <w:lang w:val="en-GB" w:eastAsia="en-US"/>
              </w:rPr>
              <w:t>mcg</w:t>
            </w:r>
            <w:r w:rsidRPr="00F7606D">
              <w:rPr>
                <w:rFonts w:eastAsiaTheme="minorHAnsi" w:cs="AdvTT86d47313"/>
                <w:szCs w:val="22"/>
                <w:lang w:val="en-GB" w:eastAsia="en-US"/>
              </w:rPr>
              <w:t xml:space="preserve"> every other day (n=9)</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TT86d47313"/>
                <w:szCs w:val="22"/>
                <w:lang w:val="en-GB" w:eastAsia="en-US"/>
              </w:rPr>
            </w:pPr>
            <w:r w:rsidRPr="00F7606D">
              <w:rPr>
                <w:rFonts w:eastAsiaTheme="minorHAnsi" w:cs="AdvTT86d47313"/>
                <w:szCs w:val="22"/>
                <w:lang w:val="en-GB" w:eastAsia="en-US"/>
              </w:rPr>
              <w:t>Behavioral assessment of patients included Paced Auditory Serial Addition Test, 3 sec (PASAT), Fatigue Scale for Motor and Cognitive functions (FSMC), Functional Assessment of Multiple Sclerosis (FAMS), and EuroQuol visual analogue scale (EQ-VAS)</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1 year</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szCs w:val="22"/>
                <w:lang w:val="en-GB"/>
              </w:rPr>
            </w:pPr>
            <w:r w:rsidRPr="00F7606D">
              <w:rPr>
                <w:szCs w:val="22"/>
                <w:lang w:val="en-GB"/>
              </w:rPr>
              <w:t>Treatment experienced (All patients previously treated with natalizumab)</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Risk of bias </w:t>
            </w:r>
          </w:p>
        </w:tc>
      </w:tr>
      <w:tr w:rsidR="00EA7D99" w:rsidRPr="00F7606D" w:rsidTr="00EA7D99">
        <w:tc>
          <w:tcPr>
            <w:tcW w:w="4815"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Random sequence generation</w:t>
            </w:r>
          </w:p>
        </w:tc>
        <w:tc>
          <w:tcPr>
            <w:tcW w:w="4536"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Unclear/Not described</w:t>
            </w:r>
          </w:p>
        </w:tc>
      </w:tr>
      <w:tr w:rsidR="00EA7D99" w:rsidRPr="00F7606D" w:rsidTr="00EA7D99">
        <w:tc>
          <w:tcPr>
            <w:tcW w:w="4815"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Allocation concealment</w:t>
            </w:r>
          </w:p>
        </w:tc>
        <w:tc>
          <w:tcPr>
            <w:tcW w:w="4536"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Unclear/Not described</w:t>
            </w:r>
          </w:p>
        </w:tc>
      </w:tr>
      <w:tr w:rsidR="00EA7D99" w:rsidRPr="00F7606D" w:rsidTr="00EA7D99">
        <w:tc>
          <w:tcPr>
            <w:tcW w:w="4815"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Blinding of participant and personnel</w:t>
            </w:r>
          </w:p>
        </w:tc>
        <w:tc>
          <w:tcPr>
            <w:tcW w:w="4536"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w:t>
            </w:r>
          </w:p>
        </w:tc>
      </w:tr>
      <w:tr w:rsidR="00EA7D99" w:rsidRPr="00F7606D" w:rsidTr="00EA7D99">
        <w:tc>
          <w:tcPr>
            <w:tcW w:w="4815"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Blinding of outcome assessment</w:t>
            </w:r>
          </w:p>
        </w:tc>
        <w:tc>
          <w:tcPr>
            <w:tcW w:w="4536"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 (rater-blinded)</w:t>
            </w:r>
          </w:p>
        </w:tc>
      </w:tr>
      <w:tr w:rsidR="00EA7D99" w:rsidRPr="00685670" w:rsidTr="00EA7D99">
        <w:tc>
          <w:tcPr>
            <w:tcW w:w="4815"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Incomplete outcome data</w:t>
            </w:r>
          </w:p>
        </w:tc>
        <w:tc>
          <w:tcPr>
            <w:tcW w:w="4536"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 17/19 completed study (reasons listed)</w:t>
            </w:r>
          </w:p>
        </w:tc>
      </w:tr>
      <w:tr w:rsidR="00EA7D99" w:rsidRPr="00F7606D" w:rsidTr="00EA7D99">
        <w:tc>
          <w:tcPr>
            <w:tcW w:w="4815"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Selective reporting</w:t>
            </w:r>
          </w:p>
        </w:tc>
        <w:tc>
          <w:tcPr>
            <w:tcW w:w="4536"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None detected</w:t>
            </w:r>
          </w:p>
        </w:tc>
      </w:tr>
      <w:tr w:rsidR="00EA7D99" w:rsidRPr="00685670" w:rsidTr="00EA7D99">
        <w:tc>
          <w:tcPr>
            <w:tcW w:w="4815"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Other sources of bias</w:t>
            </w:r>
          </w:p>
        </w:tc>
        <w:tc>
          <w:tcPr>
            <w:tcW w:w="4536"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Some of the authors have received compensation from one or several of pharmaceutical companies</w:t>
            </w:r>
          </w:p>
        </w:tc>
      </w:tr>
    </w:tbl>
    <w:p w:rsidR="00EA7D99" w:rsidRPr="00F7606D" w:rsidRDefault="00EA7D99" w:rsidP="00EA7D99">
      <w:pPr>
        <w:spacing w:line="240" w:lineRule="auto"/>
        <w:contextualSpacing/>
        <w:jc w:val="both"/>
      </w:pPr>
    </w:p>
    <w:p w:rsidR="00EA7D99" w:rsidRPr="00F7606D" w:rsidRDefault="00EA7D99" w:rsidP="00EA7D99">
      <w:pPr>
        <w:spacing w:after="160" w:line="240" w:lineRule="auto"/>
        <w:contextualSpacing/>
        <w:rPr>
          <w:rFonts w:ascii="AdvTT86d47313" w:hAnsi="AdvTT86d47313" w:cs="AdvTT86d47313"/>
        </w:rPr>
      </w:pPr>
    </w:p>
    <w:p w:rsidR="00EA7D99" w:rsidRPr="00F7606D" w:rsidRDefault="00EA7D99" w:rsidP="00EA7D99">
      <w:pPr>
        <w:pStyle w:val="31"/>
        <w:spacing w:line="240" w:lineRule="auto"/>
        <w:contextualSpacing/>
        <w:jc w:val="both"/>
        <w:rPr>
          <w:szCs w:val="22"/>
          <w:lang w:val="en-GB"/>
        </w:rPr>
      </w:pPr>
      <w:r w:rsidRPr="00F7606D">
        <w:rPr>
          <w:szCs w:val="22"/>
          <w:lang w:val="en-GB"/>
        </w:rPr>
        <w:t>Peg-interferon</w:t>
      </w:r>
    </w:p>
    <w:p w:rsidR="00EA7D99" w:rsidRPr="00F7606D" w:rsidRDefault="00EA7D99" w:rsidP="004B4975">
      <w:pPr>
        <w:pStyle w:val="41"/>
        <w:numPr>
          <w:ilvl w:val="0"/>
          <w:numId w:val="0"/>
        </w:numPr>
        <w:spacing w:line="240" w:lineRule="auto"/>
        <w:contextualSpacing/>
        <w:rPr>
          <w:szCs w:val="22"/>
          <w:lang w:val="en-GB"/>
        </w:rPr>
      </w:pPr>
      <w:r w:rsidRPr="00F7606D">
        <w:rPr>
          <w:szCs w:val="22"/>
          <w:lang w:val="en-GB"/>
        </w:rPr>
        <w:t>ADVANCE study 2014, Calabresi et al.,</w:t>
      </w:r>
      <w:r w:rsidR="00204467" w:rsidRPr="00F7606D">
        <w:rPr>
          <w:szCs w:val="22"/>
          <w:lang w:val="en-GB"/>
        </w:rPr>
        <w:fldChar w:fldCharType="begin">
          <w:fldData xml:space="preserve">PEVuZE5vdGU+PENpdGU+PEF1dGhvcj5DYWxhYnJlc2k8L0F1dGhvcj48WWVhcj4yMDE0PC9ZZWFy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</w:fldData>
        </w:fldChar>
      </w:r>
      <w:r w:rsidRPr="00F7606D">
        <w:rPr>
          <w:szCs w:val="22"/>
          <w:lang w:val="en-GB"/>
        </w:rPr>
        <w:instrText xml:space="preserve"> ADDIN EN.CITE </w:instrText>
      </w:r>
      <w:r w:rsidR="00204467" w:rsidRPr="00F7606D">
        <w:rPr>
          <w:szCs w:val="22"/>
          <w:lang w:val="en-GB"/>
        </w:rPr>
        <w:fldChar w:fldCharType="begin">
          <w:fldData xml:space="preserve">PEVuZE5vdGU+PENpdGU+PEF1dGhvcj5DYWxhYnJlc2k8L0F1dGhvcj48WWVhcj4yMDE0PC9ZZWFy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</w:fldData>
        </w:fldChar>
      </w:r>
      <w:r w:rsidRPr="00F7606D">
        <w:rPr>
          <w:szCs w:val="22"/>
          <w:lang w:val="en-GB"/>
        </w:rPr>
        <w:instrText xml:space="preserve"> ADDIN EN.CITE.DATA </w:instrText>
      </w:r>
      <w:r w:rsidR="00204467" w:rsidRPr="00F7606D">
        <w:rPr>
          <w:szCs w:val="22"/>
          <w:lang w:val="en-GB"/>
        </w:rPr>
      </w:r>
      <w:r w:rsidR="00204467" w:rsidRPr="00F7606D">
        <w:rPr>
          <w:szCs w:val="22"/>
          <w:lang w:val="en-GB"/>
        </w:rPr>
        <w:fldChar w:fldCharType="end"/>
      </w:r>
      <w:r w:rsidR="00204467" w:rsidRPr="00F7606D">
        <w:rPr>
          <w:szCs w:val="22"/>
          <w:lang w:val="en-GB"/>
        </w:rPr>
      </w:r>
      <w:r w:rsidR="00204467" w:rsidRPr="00F7606D">
        <w:rPr>
          <w:szCs w:val="22"/>
          <w:lang w:val="en-GB"/>
        </w:rPr>
        <w:fldChar w:fldCharType="separate"/>
      </w:r>
      <w:r w:rsidRPr="00F7606D">
        <w:rPr>
          <w:noProof/>
          <w:szCs w:val="22"/>
          <w:lang w:val="en-GB"/>
        </w:rPr>
        <w:t>(</w:t>
      </w:r>
      <w:r w:rsidR="00852BF9">
        <w:rPr>
          <w:noProof/>
          <w:szCs w:val="22"/>
          <w:lang w:val="en-GB"/>
        </w:rPr>
        <w:t>2014</w:t>
      </w:r>
      <w:r w:rsidRPr="00F7606D">
        <w:rPr>
          <w:noProof/>
          <w:szCs w:val="22"/>
          <w:lang w:val="en-GB"/>
        </w:rPr>
        <w:t>)</w:t>
      </w:r>
      <w:r w:rsidR="00204467" w:rsidRPr="00F7606D">
        <w:rPr>
          <w:szCs w:val="22"/>
          <w:lang w:val="en-GB"/>
        </w:rPr>
        <w:fldChar w:fldCharType="end"/>
      </w:r>
      <w:r w:rsidRPr="00F7606D">
        <w:rPr>
          <w:szCs w:val="22"/>
          <w:lang w:val="en-GB"/>
        </w:rPr>
        <w:t xml:space="preserve">, not in </w:t>
      </w:r>
      <w:r w:rsidR="00663354">
        <w:rPr>
          <w:szCs w:val="22"/>
          <w:lang w:val="en-GB"/>
        </w:rPr>
        <w:t>Tran</w:t>
      </w:r>
      <w:r w:rsidRPr="00F7606D">
        <w:rPr>
          <w:szCs w:val="22"/>
          <w:lang w:val="en-GB"/>
        </w:rPr>
        <w:t xml:space="preserve"> et al. </w:t>
      </w:r>
      <w:r w:rsidR="00852BF9">
        <w:rPr>
          <w:szCs w:val="22"/>
          <w:lang w:val="en-GB"/>
        </w:rPr>
        <w:t>(2013)</w:t>
      </w:r>
    </w:p>
    <w:tbl>
      <w:tblPr>
        <w:tblStyle w:val="afff"/>
        <w:tblW w:w="9351" w:type="dxa"/>
        <w:tblLook w:val="04A0"/>
      </w:tblPr>
      <w:tblGrid>
        <w:gridCol w:w="2687"/>
        <w:gridCol w:w="1136"/>
        <w:gridCol w:w="5528"/>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Segoe UI"/>
                <w:szCs w:val="22"/>
                <w:lang w:val="en-GB" w:eastAsia="en-US"/>
              </w:rPr>
            </w:pPr>
            <w:r w:rsidRPr="00F7606D">
              <w:rPr>
                <w:rFonts w:eastAsia="ScalaLancetPro-Bold" w:cs="Segoe UI"/>
                <w:bCs/>
                <w:szCs w:val="22"/>
                <w:lang w:val="en-GB" w:eastAsia="en-US"/>
              </w:rPr>
              <w:t>NCT00906399</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cs="Segoe UI"/>
                <w:szCs w:val="22"/>
                <w:lang w:val="en-GB"/>
              </w:rPr>
            </w:pPr>
            <w:r w:rsidRPr="00F7606D">
              <w:rPr>
                <w:rFonts w:eastAsia="ScalaLancetPro-Bold" w:cs="Segoe UI"/>
                <w:bCs/>
                <w:szCs w:val="22"/>
                <w:lang w:val="en-GB" w:eastAsia="en-US"/>
              </w:rPr>
              <w:t xml:space="preserve">Double-blind, randomized controlled study. 183 </w:t>
            </w:r>
            <w:r w:rsidRPr="00F7606D">
              <w:rPr>
                <w:rFonts w:eastAsia="ScalaLancetPro" w:cs="Segoe UI"/>
                <w:szCs w:val="22"/>
                <w:lang w:val="en-GB" w:eastAsia="en-US"/>
              </w:rPr>
              <w:t>neurology practices</w:t>
            </w:r>
            <w:r w:rsidRPr="00F7606D">
              <w:rPr>
                <w:rFonts w:eastAsia="ScalaLancetPro-Bold" w:cs="Segoe UI"/>
                <w:bCs/>
                <w:szCs w:val="22"/>
                <w:lang w:val="en-GB" w:eastAsia="en-US"/>
              </w:rPr>
              <w:t xml:space="preserve"> in 26 countries, including north and south America, Europe, India</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rFonts w:eastAsia="ScalaLancetPro" w:cs="ScalaLancetPro"/>
                <w:szCs w:val="22"/>
                <w:lang w:val="en-GB" w:eastAsia="en-US"/>
              </w:rPr>
            </w:pPr>
            <w:r w:rsidRPr="00F7606D">
              <w:rPr>
                <w:rFonts w:eastAsia="ScalaLancetPro" w:cs="Segoe UI"/>
                <w:i/>
                <w:szCs w:val="22"/>
                <w:u w:val="single"/>
                <w:lang w:val="en-GB" w:eastAsia="en-US"/>
              </w:rPr>
              <w:t>Eligibility criteria</w:t>
            </w:r>
            <w:r w:rsidRPr="00F7606D">
              <w:rPr>
                <w:rFonts w:eastAsia="ScalaLancetPro" w:cs="Segoe UI"/>
                <w:szCs w:val="22"/>
                <w:u w:val="single"/>
                <w:lang w:val="en-GB" w:eastAsia="en-US"/>
              </w:rPr>
              <w:t>:</w:t>
            </w:r>
            <w:r w:rsidRPr="00F7606D">
              <w:rPr>
                <w:rFonts w:eastAsia="ScalaLancetPro" w:cs="ScalaLancetPro"/>
                <w:szCs w:val="22"/>
                <w:lang w:val="en-GB" w:eastAsia="en-US"/>
              </w:rPr>
              <w:t xml:space="preserve"> diagnosis of relapsing-remitting multiple sclerosis as defined by the McDonald criteria,</w:t>
            </w:r>
            <w:r w:rsidRPr="00F7606D">
              <w:rPr>
                <w:rFonts w:eastAsia="ScalaLancetPro" w:cs="Segoe UI"/>
                <w:szCs w:val="22"/>
                <w:lang w:val="en-GB" w:eastAsia="en-US"/>
              </w:rPr>
              <w:t xml:space="preserve"> aged 18–65 years, a EDSS score of 0–5 , and at least two clinically documented relapses in the previous 3 years, with at least one having occurred within the past 12 months.</w:t>
            </w:r>
          </w:p>
          <w:p w:rsidR="00EA7D99" w:rsidRPr="00F7606D" w:rsidRDefault="00EA7D99" w:rsidP="00EA7D99">
            <w:pPr>
              <w:tabs>
                <w:tab w:val="clear" w:pos="510"/>
              </w:tabs>
              <w:autoSpaceDE w:val="0"/>
              <w:autoSpaceDN w:val="0"/>
              <w:adjustRightInd w:val="0"/>
              <w:spacing w:line="240" w:lineRule="auto"/>
              <w:contextualSpacing/>
              <w:jc w:val="both"/>
              <w:rPr>
                <w:rFonts w:eastAsia="ScalaLancetPro" w:cs="Segoe UI"/>
                <w:szCs w:val="22"/>
                <w:lang w:val="en-GB" w:eastAsia="en-US"/>
              </w:rPr>
            </w:pPr>
            <w:r w:rsidRPr="00F7606D">
              <w:rPr>
                <w:rFonts w:eastAsia="ScalaLancetPro" w:cs="Segoe UI"/>
                <w:i/>
                <w:szCs w:val="22"/>
                <w:u w:val="single"/>
                <w:lang w:val="en-GB" w:eastAsia="en-US"/>
              </w:rPr>
              <w:t>Key exclusion criteria</w:t>
            </w:r>
            <w:r w:rsidRPr="00F7606D">
              <w:rPr>
                <w:rFonts w:eastAsia="ScalaLancetPro" w:cs="Segoe UI"/>
                <w:szCs w:val="22"/>
                <w:u w:val="single"/>
                <w:lang w:val="en-GB" w:eastAsia="en-US"/>
              </w:rPr>
              <w:t>:</w:t>
            </w:r>
            <w:r w:rsidRPr="00F7606D">
              <w:rPr>
                <w:rFonts w:eastAsia="ScalaLancetPro" w:cs="Segoe UI"/>
                <w:szCs w:val="22"/>
                <w:lang w:val="en-GB" w:eastAsia="en-US"/>
              </w:rPr>
              <w:t xml:space="preserve"> pre-specified laboratory abnormalities, and previous treatment with interferon for multiple sclerosis for more than 4 weeks or discontinuation less than 6 months before baseline</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Segoe UI"/>
                <w:szCs w:val="22"/>
                <w:lang w:val="en-GB" w:eastAsia="en-US"/>
              </w:rPr>
            </w:pPr>
            <w:r w:rsidRPr="00F7606D">
              <w:rPr>
                <w:rFonts w:eastAsiaTheme="minorHAnsi" w:cs="Segoe UI"/>
                <w:i/>
                <w:color w:val="231F20"/>
                <w:szCs w:val="22"/>
                <w:u w:val="single"/>
                <w:lang w:val="en-GB" w:eastAsia="en-US"/>
              </w:rPr>
              <w:t>Baseline characteristics in placebo group:</w:t>
            </w:r>
            <w:r w:rsidRPr="00F7606D">
              <w:rPr>
                <w:rFonts w:eastAsiaTheme="minorHAnsi" w:cs="Segoe UI"/>
                <w:color w:val="231F20"/>
                <w:szCs w:val="22"/>
                <w:lang w:val="en-GB" w:eastAsia="en-US"/>
              </w:rPr>
              <w:t xml:space="preserve"> Age: 36+/- 10; 72% female; EDSS: 2.4 +/-1.2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ScalaLancetPro" w:cs="Segoe UI"/>
                <w:szCs w:val="22"/>
                <w:lang w:val="en-GB" w:eastAsia="en-US"/>
              </w:rPr>
            </w:pPr>
            <w:r w:rsidRPr="00F7606D">
              <w:rPr>
                <w:rFonts w:eastAsia="ScalaLancetPro" w:cs="Segoe UI"/>
                <w:szCs w:val="22"/>
                <w:lang w:val="en-GB" w:eastAsia="en-US"/>
              </w:rPr>
              <w:t>Peg-interferon beta-1a 125 mcg SC once every 2 weeks (n=512)</w:t>
            </w:r>
          </w:p>
          <w:p w:rsidR="00EA7D99" w:rsidRPr="00F7606D" w:rsidRDefault="00EA7D99" w:rsidP="00EA7D99">
            <w:pPr>
              <w:pStyle w:val="Default"/>
              <w:contextualSpacing/>
              <w:jc w:val="both"/>
              <w:rPr>
                <w:rFonts w:ascii="Georgia" w:hAnsi="Georgia" w:cs="Segoe UI"/>
                <w:sz w:val="22"/>
                <w:szCs w:val="22"/>
                <w:lang w:val="en-GB"/>
              </w:rPr>
            </w:pPr>
            <w:r w:rsidRPr="00F7606D">
              <w:rPr>
                <w:rFonts w:ascii="Georgia" w:eastAsia="ScalaLancetPro" w:hAnsi="Georgia" w:cs="Segoe UI"/>
                <w:sz w:val="22"/>
                <w:szCs w:val="22"/>
                <w:lang w:val="en-GB"/>
              </w:rPr>
              <w:t>Peg-interferon beta-1a 125 mcg SC once every 4 weeks (n=500)</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cs="Segoe UI"/>
                <w:sz w:val="22"/>
                <w:szCs w:val="22"/>
                <w:lang w:val="en-GB"/>
              </w:rPr>
            </w:pPr>
            <w:r w:rsidRPr="00F7606D">
              <w:rPr>
                <w:rFonts w:ascii="Georgia" w:hAnsi="Georgia" w:cs="Segoe UI"/>
                <w:sz w:val="22"/>
                <w:szCs w:val="22"/>
                <w:lang w:val="en-GB"/>
              </w:rPr>
              <w:t>Placebo (n=500)</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rFonts w:eastAsia="ScalaLancetPro" w:cs="ScalaLancetPro"/>
                <w:szCs w:val="22"/>
                <w:lang w:val="en-GB" w:eastAsia="en-US"/>
              </w:rPr>
            </w:pPr>
            <w:r w:rsidRPr="00F7606D">
              <w:rPr>
                <w:rFonts w:eastAsia="ScalaLancetPro" w:cs="ScalaLancetPro"/>
                <w:i/>
                <w:szCs w:val="22"/>
                <w:u w:val="single"/>
                <w:lang w:val="en-GB" w:eastAsia="en-US"/>
              </w:rPr>
              <w:t>Primary endpoints:</w:t>
            </w:r>
            <w:r w:rsidRPr="00F7606D">
              <w:rPr>
                <w:rFonts w:eastAsia="ScalaLancetPro" w:cs="ScalaLancetPro"/>
                <w:szCs w:val="22"/>
                <w:lang w:val="en-GB" w:eastAsia="en-US"/>
              </w:rPr>
              <w:t xml:space="preserve"> Annualised relapse rate at week 48, based on number of relapses. </w:t>
            </w:r>
          </w:p>
          <w:p w:rsidR="00EA7D99" w:rsidRPr="00F7606D" w:rsidRDefault="00EA7D99" w:rsidP="00EA7D99">
            <w:pPr>
              <w:tabs>
                <w:tab w:val="clear" w:pos="510"/>
              </w:tabs>
              <w:autoSpaceDE w:val="0"/>
              <w:autoSpaceDN w:val="0"/>
              <w:adjustRightInd w:val="0"/>
              <w:spacing w:line="240" w:lineRule="auto"/>
              <w:contextualSpacing/>
              <w:rPr>
                <w:rFonts w:eastAsia="ScalaLancetPro" w:cs="ScalaLancetPro"/>
                <w:szCs w:val="22"/>
                <w:lang w:val="en-GB" w:eastAsia="en-US"/>
              </w:rPr>
            </w:pPr>
            <w:r w:rsidRPr="00F7606D">
              <w:rPr>
                <w:rFonts w:eastAsia="ScalaLancetPro" w:cs="ScalaLancetPro"/>
                <w:i/>
                <w:szCs w:val="22"/>
                <w:u w:val="single"/>
                <w:lang w:val="en-GB" w:eastAsia="en-US"/>
              </w:rPr>
              <w:t>Secondary endpoints:</w:t>
            </w:r>
            <w:r w:rsidRPr="00F7606D">
              <w:rPr>
                <w:rFonts w:eastAsia="ScalaLancetPro" w:cs="ScalaLancetPro"/>
                <w:szCs w:val="22"/>
                <w:lang w:val="en-GB" w:eastAsia="en-US"/>
              </w:rPr>
              <w:t xml:space="preserve"> The number of new or newly enlarging hyperintense lesions on T2-weighted images(relative to baseline MRI), proportion of patients who relapsed, and proportion of patients with disability progression at 48 weeks.</w:t>
            </w:r>
          </w:p>
          <w:p w:rsidR="00EA7D99" w:rsidRPr="00F7606D" w:rsidRDefault="00EA7D99" w:rsidP="00EA7D99">
            <w:pPr>
              <w:tabs>
                <w:tab w:val="clear" w:pos="510"/>
              </w:tabs>
              <w:autoSpaceDE w:val="0"/>
              <w:autoSpaceDN w:val="0"/>
              <w:adjustRightInd w:val="0"/>
              <w:spacing w:line="240" w:lineRule="auto"/>
              <w:contextualSpacing/>
              <w:rPr>
                <w:szCs w:val="22"/>
                <w:lang w:val="en-GB"/>
              </w:rPr>
            </w:pPr>
            <w:r w:rsidRPr="00F7606D">
              <w:rPr>
                <w:rFonts w:eastAsia="ScalaLancetPro" w:cs="ScalaLancetPro"/>
                <w:i/>
                <w:szCs w:val="22"/>
                <w:u w:val="single"/>
                <w:lang w:val="en-GB" w:eastAsia="en-US"/>
              </w:rPr>
              <w:t>Tertiary endpoints:</w:t>
            </w:r>
            <w:r w:rsidRPr="00F7606D">
              <w:rPr>
                <w:rFonts w:eastAsia="ScalaLancetPro" w:cs="ScalaLancetPro"/>
                <w:szCs w:val="22"/>
                <w:lang w:val="en-GB" w:eastAsia="en-US"/>
              </w:rPr>
              <w:t xml:space="preserve"> Prespecified MRI endpoints at 48 weeks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2 years, but placebo controlled only for 48 weeks</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Mixed (based on exclusion criteria)</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Risk of bias</w:t>
            </w:r>
          </w:p>
        </w:tc>
      </w:tr>
      <w:tr w:rsidR="00EA7D99" w:rsidRPr="00F7606D" w:rsidTr="00EA7D99">
        <w:tc>
          <w:tcPr>
            <w:tcW w:w="3823"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Random sequence generation</w:t>
            </w:r>
          </w:p>
        </w:tc>
        <w:tc>
          <w:tcPr>
            <w:tcW w:w="5528"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685670" w:rsidTr="00EA7D99">
        <w:tc>
          <w:tcPr>
            <w:tcW w:w="3823"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Allocation concealment</w:t>
            </w:r>
          </w:p>
        </w:tc>
        <w:tc>
          <w:tcPr>
            <w:tcW w:w="5528"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p w:rsidR="00EA7D99" w:rsidRPr="00F7606D" w:rsidRDefault="00EA7D99" w:rsidP="00EA7D99">
            <w:pPr>
              <w:spacing w:line="240" w:lineRule="auto"/>
              <w:contextualSpacing/>
              <w:jc w:val="both"/>
              <w:rPr>
                <w:szCs w:val="22"/>
                <w:lang w:val="en-GB"/>
              </w:rPr>
            </w:pPr>
            <w:r w:rsidRPr="00F7606D">
              <w:rPr>
                <w:rFonts w:eastAsia="ScalaLancetPro" w:cs="ScalaLancetPro"/>
                <w:szCs w:val="22"/>
                <w:lang w:val="en-GB" w:eastAsia="en-US"/>
              </w:rPr>
              <w:t>Patients received either study drug or placebo every 2 weeks to maintain masking; those assigned to receive study drug every 4 weeks received alternate injections of placebo and peg-interferon beta-1a every 2 weeks</w:t>
            </w:r>
          </w:p>
        </w:tc>
      </w:tr>
      <w:tr w:rsidR="00EA7D99" w:rsidRPr="00F7606D" w:rsidTr="00EA7D99">
        <w:tc>
          <w:tcPr>
            <w:tcW w:w="3823"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Blinding of participant and personnel</w:t>
            </w:r>
          </w:p>
        </w:tc>
        <w:tc>
          <w:tcPr>
            <w:tcW w:w="5528"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 “</w:t>
            </w:r>
          </w:p>
        </w:tc>
      </w:tr>
      <w:tr w:rsidR="00EA7D99" w:rsidRPr="00F7606D" w:rsidTr="00EA7D99">
        <w:tc>
          <w:tcPr>
            <w:tcW w:w="3823"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Blinding of outcome assessment</w:t>
            </w:r>
          </w:p>
        </w:tc>
        <w:tc>
          <w:tcPr>
            <w:tcW w:w="5528"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3823"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Incomplete outcome data</w:t>
            </w:r>
          </w:p>
        </w:tc>
        <w:tc>
          <w:tcPr>
            <w:tcW w:w="5528"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rPr>
                <w:szCs w:val="22"/>
                <w:lang w:val="en-GB"/>
              </w:rPr>
            </w:pPr>
            <w:r w:rsidRPr="00F7606D">
              <w:rPr>
                <w:szCs w:val="22"/>
                <w:lang w:val="en-GB"/>
              </w:rPr>
              <w:t>Adequate</w:t>
            </w:r>
          </w:p>
          <w:p w:rsidR="00EA7D99" w:rsidRPr="00F7606D" w:rsidRDefault="00EA7D99" w:rsidP="00EA7D99">
            <w:pPr>
              <w:tabs>
                <w:tab w:val="clear" w:pos="510"/>
              </w:tabs>
              <w:autoSpaceDE w:val="0"/>
              <w:autoSpaceDN w:val="0"/>
              <w:adjustRightInd w:val="0"/>
              <w:spacing w:line="240" w:lineRule="auto"/>
              <w:contextualSpacing/>
              <w:rPr>
                <w:rFonts w:eastAsia="ScalaLancetPro" w:cs="ScalaLancetPro"/>
                <w:szCs w:val="22"/>
                <w:lang w:val="en-GB" w:eastAsia="en-US"/>
              </w:rPr>
            </w:pPr>
            <w:r w:rsidRPr="00F7606D">
              <w:rPr>
                <w:szCs w:val="22"/>
                <w:lang w:val="en-GB"/>
              </w:rPr>
              <w:t>Intention to treat</w:t>
            </w:r>
          </w:p>
        </w:tc>
      </w:tr>
      <w:tr w:rsidR="00EA7D99" w:rsidRPr="00F7606D" w:rsidTr="00EA7D99">
        <w:tc>
          <w:tcPr>
            <w:tcW w:w="3823"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Selective reporting</w:t>
            </w:r>
          </w:p>
        </w:tc>
        <w:tc>
          <w:tcPr>
            <w:tcW w:w="5528"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None detected</w:t>
            </w:r>
          </w:p>
        </w:tc>
      </w:tr>
      <w:tr w:rsidR="00EA7D99" w:rsidRPr="00F7606D" w:rsidTr="00EA7D99">
        <w:tc>
          <w:tcPr>
            <w:tcW w:w="3823"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Other sources of bias</w:t>
            </w:r>
          </w:p>
        </w:tc>
        <w:tc>
          <w:tcPr>
            <w:tcW w:w="5528"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Funding: manufacturer</w:t>
            </w:r>
          </w:p>
        </w:tc>
      </w:tr>
    </w:tbl>
    <w:p w:rsidR="00EA7D99" w:rsidRPr="00F7606D" w:rsidRDefault="00EA7D99" w:rsidP="00EA7D99">
      <w:pPr>
        <w:spacing w:line="240" w:lineRule="auto"/>
        <w:contextualSpacing/>
        <w:jc w:val="both"/>
      </w:pPr>
    </w:p>
    <w:p w:rsidR="00EA7D99" w:rsidRPr="00F7606D" w:rsidRDefault="00EA7D99" w:rsidP="00EA7D99">
      <w:pPr>
        <w:spacing w:after="160" w:line="240" w:lineRule="auto"/>
        <w:contextualSpacing/>
      </w:pPr>
    </w:p>
    <w:p w:rsidR="00EA7D99" w:rsidRPr="00F7606D" w:rsidRDefault="00EA7D99" w:rsidP="00EA7D99">
      <w:pPr>
        <w:pStyle w:val="31"/>
        <w:spacing w:line="240" w:lineRule="auto"/>
        <w:contextualSpacing/>
        <w:jc w:val="both"/>
        <w:rPr>
          <w:szCs w:val="22"/>
          <w:lang w:val="en-GB"/>
        </w:rPr>
      </w:pPr>
      <w:r w:rsidRPr="00F7606D">
        <w:rPr>
          <w:szCs w:val="22"/>
          <w:lang w:val="en-GB"/>
        </w:rPr>
        <w:t>Teriflunomide</w:t>
      </w:r>
    </w:p>
    <w:p w:rsidR="00EA7D99" w:rsidRPr="00F7606D" w:rsidRDefault="00EA7D99" w:rsidP="004B4975">
      <w:pPr>
        <w:pStyle w:val="41"/>
        <w:numPr>
          <w:ilvl w:val="0"/>
          <w:numId w:val="0"/>
        </w:numPr>
        <w:spacing w:line="240" w:lineRule="auto"/>
        <w:contextualSpacing/>
        <w:rPr>
          <w:szCs w:val="22"/>
          <w:lang w:val="en-GB"/>
        </w:rPr>
      </w:pPr>
      <w:r w:rsidRPr="00F7606D">
        <w:rPr>
          <w:szCs w:val="22"/>
          <w:lang w:val="en-GB"/>
        </w:rPr>
        <w:t xml:space="preserve">O’connor et al., </w:t>
      </w:r>
      <w:r w:rsidR="00852BF9">
        <w:rPr>
          <w:szCs w:val="22"/>
          <w:lang w:val="en-GB"/>
        </w:rPr>
        <w:t>(</w:t>
      </w:r>
      <w:r w:rsidRPr="00F7606D">
        <w:rPr>
          <w:szCs w:val="22"/>
          <w:lang w:val="en-GB"/>
        </w:rPr>
        <w:t>2006</w:t>
      </w:r>
      <w:r w:rsidR="00852BF9">
        <w:rPr>
          <w:szCs w:val="22"/>
          <w:lang w:val="en-GB"/>
        </w:rPr>
        <w:t>)</w:t>
      </w:r>
      <w:r w:rsidRPr="00F7606D">
        <w:rPr>
          <w:szCs w:val="22"/>
          <w:lang w:val="en-GB"/>
        </w:rPr>
        <w:t xml:space="preserve">, included in </w:t>
      </w:r>
      <w:r w:rsidR="00663354">
        <w:rPr>
          <w:szCs w:val="22"/>
          <w:lang w:val="en-GB"/>
        </w:rPr>
        <w:t>Tran</w:t>
      </w:r>
      <w:r w:rsidRPr="00F7606D">
        <w:rPr>
          <w:szCs w:val="22"/>
          <w:lang w:val="en-GB"/>
        </w:rPr>
        <w:t xml:space="preserve"> et al. </w:t>
      </w:r>
      <w:r w:rsidR="00852BF9">
        <w:rPr>
          <w:szCs w:val="22"/>
          <w:lang w:val="en-GB"/>
        </w:rPr>
        <w:t>(2013)</w:t>
      </w:r>
    </w:p>
    <w:tbl>
      <w:tblPr>
        <w:tblStyle w:val="afff"/>
        <w:tblW w:w="9351" w:type="dxa"/>
        <w:tblLook w:val="04A0"/>
      </w:tblPr>
      <w:tblGrid>
        <w:gridCol w:w="2687"/>
        <w:gridCol w:w="1559"/>
        <w:gridCol w:w="5105"/>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Not reported</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rFonts w:eastAsiaTheme="minorHAnsi" w:cs="NewCenturySchlbk-Roman"/>
                <w:szCs w:val="22"/>
                <w:lang w:val="en-GB" w:eastAsia="en-US"/>
              </w:rPr>
              <w:t>Randomized controlled study, double-blind. Centres in Canada</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Eligibility criteria</w:t>
            </w:r>
            <w:r w:rsidRPr="00F7606D">
              <w:rPr>
                <w:rFonts w:ascii="Georgia" w:hAnsi="Georgia"/>
                <w:i/>
                <w:sz w:val="22"/>
                <w:szCs w:val="22"/>
                <w:u w:val="single"/>
                <w:lang w:val="en-GB"/>
              </w:rPr>
              <w:t xml:space="preserve">: </w:t>
            </w:r>
            <w:r w:rsidRPr="00F7606D">
              <w:rPr>
                <w:rFonts w:ascii="Georgia" w:hAnsi="Georgia"/>
                <w:sz w:val="22"/>
                <w:szCs w:val="22"/>
                <w:lang w:val="en-GB"/>
              </w:rPr>
              <w:t xml:space="preserve">Age = 18 years to 65 years, with RRMS (n = 157) or secondary-progressive MS with relapses (n = 22) (Poser et al.), EDSS = 0 to 6.0; had ≥ 2 documented relapses in previous 3 years, and one clinical relapse during the preceding year. </w:t>
            </w: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Key exclusion criteria</w:t>
            </w:r>
            <w:r w:rsidRPr="00F7606D">
              <w:rPr>
                <w:rFonts w:ascii="Georgia" w:hAnsi="Georgia"/>
                <w:sz w:val="22"/>
                <w:szCs w:val="22"/>
                <w:u w:val="single"/>
                <w:lang w:val="en-GB"/>
              </w:rPr>
              <w:t>:</w:t>
            </w:r>
            <w:r w:rsidRPr="00F7606D">
              <w:rPr>
                <w:rFonts w:ascii="Georgia" w:hAnsi="Georgia"/>
                <w:sz w:val="22"/>
                <w:szCs w:val="22"/>
                <w:lang w:val="en-GB"/>
              </w:rPr>
              <w:t xml:space="preserve"> Prior treatment with interferon, gamma-globulin, glatiramer, or other non-corticosteroid immune-modulatory therapies in the 4 months prior to the trial.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AGaramond-R"/>
                <w:color w:val="231F20"/>
                <w:szCs w:val="22"/>
                <w:u w:val="single"/>
                <w:lang w:val="en-GB" w:eastAsia="en-US"/>
              </w:rPr>
              <w:t>Baseline characteristics</w:t>
            </w:r>
            <w:r w:rsidRPr="00F7606D">
              <w:rPr>
                <w:rFonts w:eastAsiaTheme="minorHAnsi" w:cs="AdvAGaramond-R"/>
                <w:color w:val="231F20"/>
                <w:szCs w:val="22"/>
                <w:lang w:val="en-GB" w:eastAsia="en-US"/>
              </w:rPr>
              <w:t>: Age: 39 +/-; 74% female; , EDSS score: (median) 2.3</w:t>
            </w:r>
          </w:p>
        </w:tc>
      </w:tr>
      <w:tr w:rsidR="00EA7D99" w:rsidRPr="00B4105F"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Teriflunomide oral 7 mg q.d.(n=61)</w:t>
            </w:r>
          </w:p>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Teriflunomide oral 14 mg q.d.(n=57)</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Placebo (n=61)</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w:t>
            </w:r>
            <w:r w:rsidRPr="00F7606D">
              <w:rPr>
                <w:rFonts w:ascii="Georgia" w:hAnsi="Georgia"/>
                <w:sz w:val="22"/>
                <w:szCs w:val="22"/>
                <w:u w:val="single"/>
                <w:lang w:val="en-GB"/>
              </w:rPr>
              <w:t>:</w:t>
            </w:r>
            <w:r w:rsidRPr="00F7606D">
              <w:rPr>
                <w:rFonts w:ascii="Georgia" w:hAnsi="Georgia"/>
                <w:sz w:val="22"/>
                <w:szCs w:val="22"/>
                <w:lang w:val="en-GB"/>
              </w:rPr>
              <w:t xml:space="preserve"> Number of combined unique active (new and persisting) lesions per MRI scan during 36 weeks.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Secondary endpoints</w:t>
            </w:r>
            <w:r w:rsidRPr="00F7606D">
              <w:rPr>
                <w:szCs w:val="22"/>
                <w:u w:val="single"/>
                <w:lang w:val="en-GB"/>
              </w:rPr>
              <w:t>:</w:t>
            </w:r>
            <w:r w:rsidRPr="00F7606D">
              <w:rPr>
                <w:szCs w:val="22"/>
                <w:lang w:val="en-GB"/>
              </w:rPr>
              <w:t xml:space="preserve"> Other MRI outcomes, number of patients experienced relapses, annualized relapse rate, number of relapsing patients required a course of steroids, EDSS change.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Cs/>
                <w:sz w:val="22"/>
                <w:szCs w:val="22"/>
                <w:u w:val="single"/>
                <w:lang w:val="en-GB"/>
              </w:rPr>
              <w:t>Definition used for:</w:t>
            </w:r>
            <w:r w:rsidRPr="00F7606D">
              <w:rPr>
                <w:rFonts w:ascii="Georgia" w:hAnsi="Georgia"/>
                <w:i/>
                <w:iCs/>
                <w:sz w:val="22"/>
                <w:szCs w:val="22"/>
                <w:lang w:val="en-GB"/>
              </w:rPr>
              <w:t xml:space="preserve"> </w:t>
            </w:r>
            <w:r w:rsidRPr="00F7606D">
              <w:rPr>
                <w:rFonts w:ascii="Georgia" w:hAnsi="Georgia"/>
                <w:i/>
                <w:iCs/>
                <w:sz w:val="22"/>
                <w:szCs w:val="22"/>
                <w:u w:val="single"/>
                <w:lang w:val="en-GB"/>
              </w:rPr>
              <w:t>Relapses</w:t>
            </w:r>
            <w:r w:rsidRPr="00F7606D">
              <w:rPr>
                <w:rFonts w:ascii="Georgia" w:hAnsi="Georgia"/>
                <w:sz w:val="22"/>
                <w:szCs w:val="22"/>
                <w:u w:val="single"/>
                <w:lang w:val="en-GB"/>
              </w:rPr>
              <w:t>:</w:t>
            </w:r>
            <w:r w:rsidRPr="00F7606D">
              <w:rPr>
                <w:rFonts w:ascii="Georgia" w:hAnsi="Georgia"/>
                <w:sz w:val="22"/>
                <w:szCs w:val="22"/>
                <w:lang w:val="en-GB"/>
              </w:rPr>
              <w:t xml:space="preserve"> The appearance of a new symptom or worsening of an old symptom due to MS lasting 48 hours in the absence of fever, preceded by period of stability of at least 30 days and accompanied by appropriate changes on neurologic examination.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36 weeks</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 xml:space="preserve">Treatment-naive (based in exclusion criteria, year of study, and clinical expert input). </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Comments</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sz w:val="22"/>
                <w:szCs w:val="22"/>
                <w:lang w:val="en-GB"/>
              </w:rPr>
              <w:t xml:space="preserve">At baseline </w:t>
            </w:r>
            <w:r w:rsidRPr="00F7606D">
              <w:rPr>
                <w:rFonts w:ascii="Georgia" w:hAnsi="Georgia" w:cs="AdvAGaramond-R"/>
                <w:color w:val="231F20"/>
                <w:sz w:val="22"/>
                <w:szCs w:val="22"/>
                <w:lang w:val="en-GB"/>
              </w:rPr>
              <w:t>86.9% RRMS, 13.1% secondary progressive</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Randomization</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Insufficient reporting</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Allocation concealment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Not reporting</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Double-blinding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Baseline characteristic similarity</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 measures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Withdrawals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11%</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ITT Analysis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Funding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Manufacturer</w:t>
            </w:r>
          </w:p>
        </w:tc>
      </w:tr>
    </w:tbl>
    <w:p w:rsidR="00EA7D99" w:rsidRPr="00F7606D" w:rsidRDefault="00EA7D99" w:rsidP="00EA7D99">
      <w:pPr>
        <w:spacing w:after="160" w:line="240" w:lineRule="auto"/>
        <w:contextualSpacing/>
        <w:rPr>
          <w:b/>
          <w:i/>
        </w:rPr>
      </w:pPr>
    </w:p>
    <w:p w:rsidR="00EA7D99" w:rsidRPr="00F7606D" w:rsidRDefault="00EA7D99" w:rsidP="004B4975">
      <w:pPr>
        <w:pStyle w:val="41"/>
        <w:numPr>
          <w:ilvl w:val="0"/>
          <w:numId w:val="0"/>
        </w:numPr>
        <w:spacing w:line="240" w:lineRule="auto"/>
        <w:contextualSpacing/>
        <w:rPr>
          <w:szCs w:val="22"/>
          <w:lang w:val="en-GB"/>
        </w:rPr>
      </w:pPr>
      <w:r w:rsidRPr="00F7606D">
        <w:rPr>
          <w:szCs w:val="22"/>
          <w:lang w:val="en-GB"/>
        </w:rPr>
        <w:t>TEMSO study 2011, O’Connor et al.</w:t>
      </w:r>
      <w:r>
        <w:rPr>
          <w:szCs w:val="22"/>
          <w:lang w:val="en-GB"/>
        </w:rPr>
        <w:t xml:space="preserve"> </w:t>
      </w:r>
      <w:r w:rsidR="00204467">
        <w:rPr>
          <w:szCs w:val="22"/>
          <w:lang w:val="en-GB"/>
        </w:rPr>
        <w:fldChar w:fldCharType="begin">
          <w:fldData xml:space="preserve">PEVuZE5vdGU+PENpdGU+PEF1dGhvcj5PJmFwb3M7Q29ubm9yPC9BdXRob3I+PFllYXI+MjAxMTwv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</w:fldData>
        </w:fldChar>
      </w:r>
      <w:r>
        <w:rPr>
          <w:szCs w:val="22"/>
          <w:lang w:val="en-GB"/>
        </w:rPr>
        <w:instrText xml:space="preserve"> ADDIN EN.CITE </w:instrText>
      </w:r>
      <w:r w:rsidR="00204467">
        <w:rPr>
          <w:szCs w:val="22"/>
          <w:lang w:val="en-GB"/>
        </w:rPr>
        <w:fldChar w:fldCharType="begin">
          <w:fldData xml:space="preserve">PEVuZE5vdGU+PENpdGU+PEF1dGhvcj5PJmFwb3M7Q29ubm9yPC9BdXRob3I+PFllYXI+MjAxMTwv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</w:fldData>
        </w:fldChar>
      </w:r>
      <w:r>
        <w:rPr>
          <w:szCs w:val="22"/>
          <w:lang w:val="en-GB"/>
        </w:rPr>
        <w:instrText xml:space="preserve"> ADDIN EN.CITE.DATA </w:instrText>
      </w:r>
      <w:r w:rsidR="00204467">
        <w:rPr>
          <w:szCs w:val="22"/>
          <w:lang w:val="en-GB"/>
        </w:rPr>
      </w:r>
      <w:r w:rsidR="00204467">
        <w:rPr>
          <w:szCs w:val="22"/>
          <w:lang w:val="en-GB"/>
        </w:rPr>
        <w:fldChar w:fldCharType="end"/>
      </w:r>
      <w:r w:rsidR="00204467">
        <w:rPr>
          <w:szCs w:val="22"/>
          <w:lang w:val="en-GB"/>
        </w:rPr>
      </w:r>
      <w:r w:rsidR="00204467">
        <w:rPr>
          <w:szCs w:val="22"/>
          <w:lang w:val="en-GB"/>
        </w:rPr>
        <w:fldChar w:fldCharType="separate"/>
      </w:r>
      <w:r>
        <w:rPr>
          <w:noProof/>
          <w:szCs w:val="22"/>
          <w:lang w:val="en-GB"/>
        </w:rPr>
        <w:t>(</w:t>
      </w:r>
      <w:r w:rsidR="00852BF9">
        <w:rPr>
          <w:noProof/>
          <w:szCs w:val="22"/>
          <w:lang w:val="en-GB"/>
        </w:rPr>
        <w:t>2011, 2013</w:t>
      </w:r>
      <w:r>
        <w:rPr>
          <w:noProof/>
          <w:szCs w:val="22"/>
          <w:lang w:val="en-GB"/>
        </w:rPr>
        <w:t>)</w:t>
      </w:r>
      <w:r w:rsidR="00204467">
        <w:rPr>
          <w:szCs w:val="22"/>
          <w:lang w:val="en-GB"/>
        </w:rPr>
        <w:fldChar w:fldCharType="end"/>
      </w:r>
      <w:r w:rsidRPr="00F7606D">
        <w:rPr>
          <w:szCs w:val="22"/>
          <w:lang w:val="en-GB"/>
        </w:rPr>
        <w:t xml:space="preserve">, included in </w:t>
      </w:r>
      <w:r w:rsidR="00663354">
        <w:rPr>
          <w:szCs w:val="22"/>
          <w:lang w:val="en-GB"/>
        </w:rPr>
        <w:t>Tran</w:t>
      </w:r>
      <w:r w:rsidRPr="00F7606D">
        <w:rPr>
          <w:szCs w:val="22"/>
          <w:lang w:val="en-GB"/>
        </w:rPr>
        <w:t xml:space="preserve"> et al. </w:t>
      </w:r>
      <w:r w:rsidR="00852BF9">
        <w:rPr>
          <w:szCs w:val="22"/>
          <w:lang w:val="en-GB"/>
        </w:rPr>
        <w:t>(2013)</w:t>
      </w:r>
    </w:p>
    <w:tbl>
      <w:tblPr>
        <w:tblStyle w:val="afff"/>
        <w:tblW w:w="9351" w:type="dxa"/>
        <w:tblLook w:val="04A0"/>
      </w:tblPr>
      <w:tblGrid>
        <w:gridCol w:w="2687"/>
        <w:gridCol w:w="1559"/>
        <w:gridCol w:w="5105"/>
      </w:tblGrid>
      <w:tr w:rsidR="00EA7D99" w:rsidRPr="00075AF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OTNEJMQuadraat" w:cs="OTNEJMQuadraat"/>
                <w:szCs w:val="22"/>
                <w:lang w:val="en-GB" w:eastAsia="en-US"/>
              </w:rPr>
              <w:t>NCT00134563</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rPr>
                <w:rFonts w:ascii="Georgia" w:hAnsi="Georgia"/>
                <w:sz w:val="22"/>
                <w:szCs w:val="22"/>
                <w:lang w:val="en-GB"/>
              </w:rPr>
            </w:pPr>
            <w:r w:rsidRPr="00F7606D">
              <w:rPr>
                <w:rFonts w:ascii="Georgia" w:hAnsi="Georgia"/>
                <w:sz w:val="22"/>
                <w:szCs w:val="22"/>
                <w:lang w:val="en-GB"/>
              </w:rPr>
              <w:t>Double-blind, randomized controlled trial. 127 centres in 21 countries including Canada, Europe, and US.</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Eligibility criteria</w:t>
            </w:r>
            <w:r w:rsidRPr="00F7606D">
              <w:rPr>
                <w:rFonts w:ascii="Georgia" w:hAnsi="Georgia"/>
                <w:sz w:val="22"/>
                <w:szCs w:val="22"/>
                <w:u w:val="single"/>
                <w:lang w:val="en-GB"/>
              </w:rPr>
              <w:t>:</w:t>
            </w:r>
            <w:r w:rsidRPr="00F7606D">
              <w:rPr>
                <w:rFonts w:ascii="Georgia" w:hAnsi="Georgia"/>
                <w:sz w:val="22"/>
                <w:szCs w:val="22"/>
                <w:lang w:val="en-GB"/>
              </w:rPr>
              <w:t xml:space="preserve"> Age = 18 years to 55 years; diagnosis of RRMS (McDonald criteria), EDSS = 0 to 5.5; had ≥ 2 relapses in the previous 2 years or ≥ 1 relapse during the preceding year, but no relapse in the 60 days before randomization.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rial"/>
                <w:i/>
                <w:iCs/>
                <w:color w:val="000000"/>
                <w:szCs w:val="22"/>
                <w:u w:val="single"/>
                <w:lang w:val="en-GB" w:eastAsia="en-US"/>
              </w:rPr>
              <w:t>Key exclusion criteria</w:t>
            </w:r>
            <w:r w:rsidRPr="00F7606D">
              <w:rPr>
                <w:rFonts w:eastAsiaTheme="minorHAnsi" w:cs="Arial"/>
                <w:color w:val="000000"/>
                <w:szCs w:val="22"/>
                <w:u w:val="single"/>
                <w:lang w:val="en-GB" w:eastAsia="en-US"/>
              </w:rPr>
              <w:t>:</w:t>
            </w:r>
            <w:r w:rsidRPr="00F7606D">
              <w:rPr>
                <w:rFonts w:eastAsiaTheme="minorHAnsi" w:cs="Arial"/>
                <w:color w:val="000000"/>
                <w:szCs w:val="22"/>
                <w:lang w:val="en-GB" w:eastAsia="en-US"/>
              </w:rPr>
              <w:t xml:space="preserve"> Had other systemic diseases; pregnant, or planned to conceive during the trial period.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AGaramond-R"/>
                <w:color w:val="231F20"/>
                <w:szCs w:val="22"/>
                <w:u w:val="single"/>
                <w:lang w:val="en-GB" w:eastAsia="en-US"/>
              </w:rPr>
              <w:t>Baseline characteristics</w:t>
            </w:r>
            <w:r w:rsidRPr="00F7606D">
              <w:rPr>
                <w:rFonts w:eastAsiaTheme="minorHAnsi" w:cs="AdvAGaramond-R"/>
                <w:color w:val="231F20"/>
                <w:szCs w:val="22"/>
                <w:lang w:val="en-GB" w:eastAsia="en-US"/>
              </w:rPr>
              <w:t xml:space="preserve">: Age 38+/-9; 72% female; EDSS: 2.7+/- 1.3 </w:t>
            </w:r>
          </w:p>
        </w:tc>
      </w:tr>
      <w:tr w:rsidR="00EA7D99" w:rsidRPr="00B4105F"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 xml:space="preserve">Teriflunomide oral 7 mg q.d. </w:t>
            </w:r>
            <w:r w:rsidRPr="00B4105F">
              <w:rPr>
                <w:rFonts w:ascii="Georgia" w:hAnsi="Georgia"/>
                <w:sz w:val="22"/>
                <w:szCs w:val="22"/>
                <w:lang w:val="pt-PT"/>
              </w:rPr>
              <w:t>(n=365)</w:t>
            </w:r>
          </w:p>
          <w:p w:rsidR="00EA7D99" w:rsidRPr="00B4105F" w:rsidRDefault="00EA7D99" w:rsidP="00EA7D99">
            <w:pPr>
              <w:pStyle w:val="Default"/>
              <w:contextualSpacing/>
              <w:jc w:val="both"/>
              <w:rPr>
                <w:rFonts w:ascii="Georgia" w:hAnsi="Georgia"/>
                <w:sz w:val="22"/>
                <w:szCs w:val="22"/>
                <w:lang w:val="pt-PT"/>
              </w:rPr>
            </w:pPr>
            <w:r w:rsidRPr="00B4105F">
              <w:rPr>
                <w:rFonts w:ascii="Georgia" w:hAnsi="Georgia"/>
                <w:bCs/>
                <w:sz w:val="22"/>
                <w:szCs w:val="22"/>
                <w:lang w:val="pt-PT"/>
              </w:rPr>
              <w:t xml:space="preserve">Teriflunomide oral 14 mg q.d. </w:t>
            </w:r>
            <w:r w:rsidRPr="00B4105F">
              <w:rPr>
                <w:rFonts w:ascii="Georgia" w:hAnsi="Georgia"/>
                <w:sz w:val="22"/>
                <w:szCs w:val="22"/>
                <w:lang w:val="pt-PT"/>
              </w:rPr>
              <w:t xml:space="preserve">(n=358)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bCs/>
                <w:sz w:val="22"/>
                <w:szCs w:val="22"/>
                <w:lang w:val="en-GB"/>
              </w:rPr>
              <w:t xml:space="preserve">Placebo </w:t>
            </w:r>
            <w:r w:rsidRPr="00F7606D">
              <w:rPr>
                <w:rFonts w:ascii="Georgia" w:hAnsi="Georgia"/>
                <w:sz w:val="22"/>
                <w:szCs w:val="22"/>
                <w:lang w:val="en-GB"/>
              </w:rPr>
              <w:t>(n=363)</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
                <w:iCs/>
                <w:sz w:val="22"/>
                <w:szCs w:val="22"/>
                <w:u w:val="single"/>
                <w:lang w:val="en-GB"/>
              </w:rPr>
              <w:t>Primary endpoint</w:t>
            </w:r>
            <w:r w:rsidRPr="00F7606D">
              <w:rPr>
                <w:rFonts w:ascii="Georgia" w:hAnsi="Georgia"/>
                <w:sz w:val="22"/>
                <w:szCs w:val="22"/>
                <w:u w:val="single"/>
                <w:lang w:val="en-GB"/>
              </w:rPr>
              <w:t>:</w:t>
            </w:r>
            <w:r w:rsidRPr="00F7606D">
              <w:rPr>
                <w:rFonts w:ascii="Georgia" w:hAnsi="Georgia"/>
                <w:sz w:val="22"/>
                <w:szCs w:val="22"/>
                <w:lang w:val="en-GB"/>
              </w:rPr>
              <w:t xml:space="preserve"> Annualized relapse rate.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Secondary endpoints</w:t>
            </w:r>
            <w:r w:rsidRPr="00F7606D">
              <w:rPr>
                <w:szCs w:val="22"/>
                <w:u w:val="single"/>
                <w:lang w:val="en-GB"/>
              </w:rPr>
              <w:t>:</w:t>
            </w:r>
            <w:r w:rsidRPr="00F7606D">
              <w:rPr>
                <w:szCs w:val="22"/>
                <w:lang w:val="en-GB"/>
              </w:rPr>
              <w:t xml:space="preserve"> Disability progression (EDSS change), different MRI outcomes.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p>
          <w:p w:rsidR="00EA7D99" w:rsidRPr="00F7606D" w:rsidRDefault="00EA7D99" w:rsidP="00EA7D99">
            <w:pPr>
              <w:pStyle w:val="Default"/>
              <w:contextualSpacing/>
              <w:jc w:val="both"/>
              <w:rPr>
                <w:rFonts w:ascii="Georgia" w:hAnsi="Georgia"/>
                <w:sz w:val="22"/>
                <w:szCs w:val="22"/>
                <w:lang w:val="en-GB"/>
              </w:rPr>
            </w:pPr>
            <w:r w:rsidRPr="00F7606D">
              <w:rPr>
                <w:rFonts w:ascii="Georgia" w:hAnsi="Georgia"/>
                <w:iCs/>
                <w:sz w:val="22"/>
                <w:szCs w:val="22"/>
                <w:u w:val="single"/>
                <w:lang w:val="en-GB"/>
              </w:rPr>
              <w:t>Definitions used for endpoints:</w:t>
            </w:r>
            <w:r w:rsidRPr="00F7606D">
              <w:rPr>
                <w:rFonts w:ascii="Georgia" w:hAnsi="Georgia"/>
                <w:i/>
                <w:iCs/>
                <w:sz w:val="22"/>
                <w:szCs w:val="22"/>
                <w:lang w:val="en-GB"/>
              </w:rPr>
              <w:t xml:space="preserve"> </w:t>
            </w:r>
            <w:r w:rsidRPr="00F7606D">
              <w:rPr>
                <w:rFonts w:ascii="Georgia" w:hAnsi="Georgia"/>
                <w:i/>
                <w:iCs/>
                <w:sz w:val="22"/>
                <w:szCs w:val="22"/>
                <w:u w:val="single"/>
                <w:lang w:val="en-GB"/>
              </w:rPr>
              <w:t>Relapses</w:t>
            </w:r>
            <w:r w:rsidRPr="00F7606D">
              <w:rPr>
                <w:rFonts w:ascii="Georgia" w:hAnsi="Georgia"/>
                <w:sz w:val="22"/>
                <w:szCs w:val="22"/>
                <w:u w:val="single"/>
                <w:lang w:val="en-GB"/>
              </w:rPr>
              <w:t>:</w:t>
            </w:r>
            <w:r w:rsidRPr="00F7606D">
              <w:rPr>
                <w:rFonts w:ascii="Georgia" w:hAnsi="Georgia"/>
                <w:sz w:val="22"/>
                <w:szCs w:val="22"/>
                <w:lang w:val="en-GB"/>
              </w:rPr>
              <w:t xml:space="preserve"> The appearance of a new clinical sign or symptom, or clinical worsening of a previous sign or symptom that had been stable for at least 30 days and that persisted for a minimum of 24 hours in the absence of fever. </w:t>
            </w:r>
          </w:p>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i/>
                <w:iCs/>
                <w:szCs w:val="22"/>
                <w:u w:val="single"/>
                <w:lang w:val="en-GB"/>
              </w:rPr>
              <w:t>Disability progression</w:t>
            </w:r>
            <w:r w:rsidRPr="00F7606D">
              <w:rPr>
                <w:szCs w:val="22"/>
                <w:u w:val="single"/>
                <w:lang w:val="en-GB"/>
              </w:rPr>
              <w:t>:</w:t>
            </w:r>
            <w:r w:rsidRPr="00F7606D">
              <w:rPr>
                <w:szCs w:val="22"/>
                <w:lang w:val="en-GB"/>
              </w:rPr>
              <w:t xml:space="preserve"> An increase from baseline of at least 1.0 point in the EDSS score (or at least 0.5 points for patients with a baseline EDSS score greater than 5.5) that persisted for at least 12 weeks. </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szCs w:val="22"/>
                <w:lang w:val="en-GB" w:eastAsia="en-US"/>
              </w:rPr>
              <w:t>108 weeks</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rPr>
                <w:b/>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Mixed (based on reported baseline characteristics)</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Critical appraisal </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Randomization</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Allocation concealment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Double-blinding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Baseline characteristic similarity</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Outcome measures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Withdrawals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27%</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ITT Analysis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Yes</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Funding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Manufacturer</w:t>
            </w:r>
          </w:p>
        </w:tc>
      </w:tr>
    </w:tbl>
    <w:p w:rsidR="00EA7D99" w:rsidRPr="00F7606D" w:rsidRDefault="00EA7D99" w:rsidP="00EA7D99">
      <w:pPr>
        <w:spacing w:after="160" w:line="240" w:lineRule="auto"/>
        <w:contextualSpacing/>
        <w:rPr>
          <w:b/>
        </w:rPr>
      </w:pPr>
    </w:p>
    <w:p w:rsidR="00EA7D99" w:rsidRPr="00F7606D" w:rsidRDefault="00EA7D99" w:rsidP="00EA7D99">
      <w:pPr>
        <w:spacing w:after="160" w:line="240" w:lineRule="auto"/>
        <w:contextualSpacing/>
        <w:rPr>
          <w:b/>
        </w:rPr>
      </w:pPr>
    </w:p>
    <w:p w:rsidR="00EA7D99" w:rsidRPr="00F7606D" w:rsidRDefault="00EA7D99" w:rsidP="004B4975">
      <w:pPr>
        <w:pStyle w:val="41"/>
        <w:numPr>
          <w:ilvl w:val="0"/>
          <w:numId w:val="0"/>
        </w:numPr>
        <w:spacing w:line="240" w:lineRule="auto"/>
        <w:contextualSpacing/>
        <w:jc w:val="both"/>
        <w:rPr>
          <w:szCs w:val="22"/>
          <w:lang w:val="en-GB"/>
        </w:rPr>
      </w:pPr>
      <w:r w:rsidRPr="00F7606D">
        <w:rPr>
          <w:szCs w:val="22"/>
          <w:lang w:val="en-GB"/>
        </w:rPr>
        <w:t>TOWER-(</w:t>
      </w:r>
      <w:r w:rsidRPr="00F7606D">
        <w:rPr>
          <w:rFonts w:eastAsiaTheme="minorHAnsi" w:cs="AdvPTimes"/>
          <w:szCs w:val="22"/>
          <w:lang w:val="en-GB" w:eastAsia="en-US"/>
        </w:rPr>
        <w:t xml:space="preserve">Teriflunomide Oral in people With relapsing multiplE sclerosis) </w:t>
      </w:r>
      <w:r w:rsidRPr="00F7606D">
        <w:rPr>
          <w:szCs w:val="22"/>
          <w:lang w:val="en-GB"/>
        </w:rPr>
        <w:t xml:space="preserve">study, Confavreux et al. </w:t>
      </w:r>
      <w:r w:rsidR="00852BF9">
        <w:rPr>
          <w:szCs w:val="22"/>
          <w:lang w:val="en-GB"/>
        </w:rPr>
        <w:t>(</w:t>
      </w:r>
      <w:r w:rsidRPr="00F7606D">
        <w:rPr>
          <w:szCs w:val="22"/>
          <w:lang w:val="en-GB"/>
        </w:rPr>
        <w:t>2014</w:t>
      </w:r>
      <w:r w:rsidR="00852BF9">
        <w:rPr>
          <w:szCs w:val="22"/>
          <w:lang w:val="en-GB"/>
        </w:rPr>
        <w:t>)</w:t>
      </w:r>
      <w:r w:rsidRPr="00F7606D">
        <w:rPr>
          <w:szCs w:val="22"/>
          <w:lang w:val="en-GB"/>
        </w:rPr>
        <w:t xml:space="preserve">, not included in </w:t>
      </w:r>
      <w:r w:rsidR="00663354">
        <w:rPr>
          <w:szCs w:val="22"/>
          <w:lang w:val="en-GB"/>
        </w:rPr>
        <w:t>Tran</w:t>
      </w:r>
      <w:r w:rsidRPr="00F7606D">
        <w:rPr>
          <w:szCs w:val="22"/>
          <w:lang w:val="en-GB"/>
        </w:rPr>
        <w:t xml:space="preserve"> et al. </w:t>
      </w:r>
      <w:r w:rsidR="00852BF9">
        <w:rPr>
          <w:szCs w:val="22"/>
          <w:lang w:val="en-GB"/>
        </w:rPr>
        <w:t>(2013)</w:t>
      </w:r>
    </w:p>
    <w:tbl>
      <w:tblPr>
        <w:tblStyle w:val="afff"/>
        <w:tblW w:w="9351" w:type="dxa"/>
        <w:tblLook w:val="04A0"/>
      </w:tblPr>
      <w:tblGrid>
        <w:gridCol w:w="2687"/>
        <w:gridCol w:w="1844"/>
        <w:gridCol w:w="4820"/>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Times"/>
                <w:szCs w:val="22"/>
                <w:lang w:val="en-GB" w:eastAsia="en-US"/>
              </w:rPr>
            </w:pPr>
            <w:r w:rsidRPr="00F7606D">
              <w:rPr>
                <w:rFonts w:eastAsiaTheme="minorHAnsi" w:cs="AdvPTimes"/>
                <w:szCs w:val="22"/>
                <w:lang w:val="en-GB" w:eastAsia="en-US"/>
              </w:rPr>
              <w:t>NCT00751881</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ScalaLancetPro-Bold" w:cs="ScalaLancetPro-Bold"/>
                <w:bCs/>
                <w:szCs w:val="22"/>
                <w:lang w:val="en-GB" w:eastAsia="en-US"/>
              </w:rPr>
              <w:t xml:space="preserve">Randomised, double-blind, placebo-controlled in </w:t>
            </w:r>
            <w:r w:rsidRPr="00F7606D">
              <w:rPr>
                <w:rFonts w:eastAsia="ScalaLancetPro" w:cs="ScalaLancetPro"/>
                <w:szCs w:val="22"/>
                <w:lang w:val="en-GB" w:eastAsia="en-US"/>
              </w:rPr>
              <w:t>189 centres mainly hospital-based sites in 26 countries</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Times"/>
                <w:szCs w:val="22"/>
                <w:lang w:val="en-GB" w:eastAsia="en-US"/>
              </w:rPr>
            </w:pPr>
            <w:r w:rsidRPr="00F7606D">
              <w:rPr>
                <w:rFonts w:eastAsiaTheme="minorHAnsi" w:cs="AdvPTimes"/>
                <w:i/>
                <w:szCs w:val="22"/>
                <w:u w:val="single"/>
                <w:lang w:val="en-GB" w:eastAsia="en-US"/>
              </w:rPr>
              <w:t>Eligibility criteria:</w:t>
            </w:r>
            <w:r w:rsidRPr="00F7606D">
              <w:rPr>
                <w:rFonts w:eastAsiaTheme="minorHAnsi" w:cs="AdvPTimes"/>
                <w:szCs w:val="22"/>
                <w:lang w:val="en-GB" w:eastAsia="en-US"/>
              </w:rPr>
              <w:t xml:space="preserve"> ambulatory patients with RMS, aged 18–55 years, with EDSS scores </w:t>
            </w:r>
            <w:r w:rsidRPr="00F7606D">
              <w:rPr>
                <w:rFonts w:eastAsiaTheme="minorHAnsi" w:cs="AdvTir_symb"/>
                <w:szCs w:val="22"/>
                <w:lang w:val="en-GB" w:eastAsia="en-US"/>
              </w:rPr>
              <w:t>&lt;=</w:t>
            </w:r>
            <w:r w:rsidRPr="00F7606D">
              <w:rPr>
                <w:rFonts w:eastAsiaTheme="minorHAnsi" w:cs="AdvPTimes"/>
                <w:szCs w:val="22"/>
                <w:lang w:val="en-GB" w:eastAsia="en-US"/>
              </w:rPr>
              <w:t xml:space="preserve">5.5 and </w:t>
            </w:r>
            <w:r w:rsidRPr="00F7606D">
              <w:rPr>
                <w:rFonts w:eastAsiaTheme="minorHAnsi" w:cs="AdvTir_symb"/>
                <w:szCs w:val="22"/>
                <w:lang w:val="en-GB" w:eastAsia="en-US"/>
              </w:rPr>
              <w:t>&gt;=</w:t>
            </w:r>
            <w:r w:rsidRPr="00F7606D">
              <w:rPr>
                <w:rFonts w:eastAsiaTheme="minorHAnsi" w:cs="AdvPTimes"/>
                <w:szCs w:val="22"/>
                <w:lang w:val="en-GB" w:eastAsia="en-US"/>
              </w:rPr>
              <w:t xml:space="preserve">1 relapse in the previous 12 months or </w:t>
            </w:r>
            <w:r w:rsidRPr="00F7606D">
              <w:rPr>
                <w:rFonts w:eastAsiaTheme="minorHAnsi" w:cs="AdvTir_symb"/>
                <w:szCs w:val="22"/>
                <w:lang w:val="en-GB" w:eastAsia="en-US"/>
              </w:rPr>
              <w:t>&gt;=</w:t>
            </w:r>
            <w:r w:rsidRPr="00F7606D">
              <w:rPr>
                <w:rFonts w:eastAsiaTheme="minorHAnsi" w:cs="AdvPTimes"/>
                <w:szCs w:val="22"/>
                <w:lang w:val="en-GB" w:eastAsia="en-US"/>
              </w:rPr>
              <w:t>2 relapses in the prior 24 months</w:t>
            </w:r>
          </w:p>
          <w:p w:rsidR="00EA7D99" w:rsidRPr="00F7606D" w:rsidRDefault="00EA7D99" w:rsidP="00EA7D99">
            <w:pPr>
              <w:tabs>
                <w:tab w:val="clear" w:pos="510"/>
              </w:tabs>
              <w:autoSpaceDE w:val="0"/>
              <w:autoSpaceDN w:val="0"/>
              <w:adjustRightInd w:val="0"/>
              <w:spacing w:line="240" w:lineRule="auto"/>
              <w:contextualSpacing/>
              <w:jc w:val="both"/>
              <w:rPr>
                <w:rFonts w:eastAsia="ScalaLancetPro" w:cs="ScalaLancetPro"/>
                <w:szCs w:val="22"/>
                <w:lang w:val="en-GB" w:eastAsia="en-US"/>
              </w:rPr>
            </w:pPr>
            <w:r w:rsidRPr="00F7606D">
              <w:rPr>
                <w:rFonts w:eastAsiaTheme="minorHAnsi" w:cs="AdvPTimes"/>
                <w:i/>
                <w:szCs w:val="22"/>
                <w:u w:val="single"/>
                <w:lang w:val="en-GB" w:eastAsia="en-US"/>
              </w:rPr>
              <w:t>Key exclusion criteria:</w:t>
            </w:r>
            <w:r w:rsidRPr="00F7606D">
              <w:rPr>
                <w:rFonts w:eastAsiaTheme="minorHAnsi" w:cs="AdvPTimes"/>
                <w:szCs w:val="22"/>
                <w:lang w:val="en-GB" w:eastAsia="en-US"/>
              </w:rPr>
              <w:t xml:space="preserve"> </w:t>
            </w:r>
            <w:r w:rsidRPr="00F7606D">
              <w:rPr>
                <w:rFonts w:eastAsia="ScalaLancetPro" w:cs="ScalaLancetPro"/>
                <w:szCs w:val="22"/>
                <w:lang w:val="en-GB" w:eastAsia="en-US"/>
              </w:rPr>
              <w:t>previously or concomitantly received cytokine therapy, interferon beta, or glatiramer acetate within 3 months of randomisation, or had ever used natalizumab or other immunosuppressive agents</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Times"/>
                <w:szCs w:val="22"/>
                <w:lang w:val="en-GB" w:eastAsia="en-US"/>
              </w:rPr>
            </w:pPr>
            <w:r w:rsidRPr="00F7606D">
              <w:rPr>
                <w:rFonts w:eastAsiaTheme="minorHAnsi" w:cs="AdvPTimes"/>
                <w:i/>
                <w:szCs w:val="22"/>
                <w:u w:val="single"/>
                <w:lang w:val="en-GB" w:eastAsia="en-US"/>
              </w:rPr>
              <w:t>Baseline characteristics (in placebo group):</w:t>
            </w:r>
            <w:r w:rsidRPr="00F7606D">
              <w:rPr>
                <w:rFonts w:eastAsiaTheme="minorHAnsi" w:cs="AdvPTimes"/>
                <w:szCs w:val="22"/>
                <w:lang w:val="en-GB" w:eastAsia="en-US"/>
              </w:rPr>
              <w:t xml:space="preserve"> Age: 38+/-9; 70% female; EDSS: 2,7+/-1,4</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Times"/>
                <w:szCs w:val="22"/>
                <w:lang w:val="en-GB" w:eastAsia="en-US"/>
              </w:rPr>
            </w:pPr>
            <w:r w:rsidRPr="00F7606D">
              <w:rPr>
                <w:rFonts w:eastAsiaTheme="minorHAnsi" w:cs="AdvPTimes"/>
                <w:szCs w:val="22"/>
                <w:lang w:val="en-GB" w:eastAsia="en-US"/>
              </w:rPr>
              <w:t>Teriflunomide 14 mg once daily (n=372)</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Times"/>
                <w:szCs w:val="22"/>
                <w:lang w:val="en-GB" w:eastAsia="en-US"/>
              </w:rPr>
            </w:pPr>
            <w:r w:rsidRPr="00F7606D">
              <w:rPr>
                <w:rFonts w:eastAsiaTheme="minorHAnsi" w:cs="AdvPTimes"/>
                <w:szCs w:val="22"/>
                <w:lang w:val="en-GB" w:eastAsia="en-US"/>
              </w:rPr>
              <w:t>Teriflunomide 7 mg once daily (n=408)</w:t>
            </w:r>
          </w:p>
        </w:tc>
      </w:tr>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AdvP641C"/>
                <w:szCs w:val="22"/>
                <w:lang w:val="en-GB" w:eastAsia="en-US"/>
              </w:rPr>
              <w:t>Placebo once daily (n=389)</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ScalaLancetPro" w:cs="ScalaLancetPro"/>
                <w:szCs w:val="22"/>
                <w:lang w:val="en-GB" w:eastAsia="en-US"/>
              </w:rPr>
            </w:pPr>
            <w:r w:rsidRPr="00F7606D">
              <w:rPr>
                <w:rFonts w:eastAsia="ScalaLancetPro" w:cs="ScalaLancetPro"/>
                <w:i/>
                <w:szCs w:val="22"/>
                <w:u w:val="single"/>
                <w:lang w:val="en-GB" w:eastAsia="en-US"/>
              </w:rPr>
              <w:t>Primary endpoints:</w:t>
            </w:r>
            <w:r w:rsidRPr="00F7606D">
              <w:rPr>
                <w:rFonts w:eastAsia="ScalaLancetPro" w:cs="ScalaLancetPro"/>
                <w:szCs w:val="22"/>
                <w:lang w:val="en-GB" w:eastAsia="en-US"/>
              </w:rPr>
              <w:t xml:space="preserve"> Annualised relapse rate (number of relapses per patient-year)</w:t>
            </w:r>
          </w:p>
          <w:p w:rsidR="00EA7D99" w:rsidRPr="00F7606D" w:rsidRDefault="00EA7D99" w:rsidP="00EA7D99">
            <w:pPr>
              <w:tabs>
                <w:tab w:val="clear" w:pos="510"/>
              </w:tabs>
              <w:autoSpaceDE w:val="0"/>
              <w:autoSpaceDN w:val="0"/>
              <w:adjustRightInd w:val="0"/>
              <w:spacing w:line="240" w:lineRule="auto"/>
              <w:contextualSpacing/>
              <w:jc w:val="both"/>
              <w:rPr>
                <w:rFonts w:eastAsia="ScalaLancetPro" w:cs="ScalaLancetPro"/>
                <w:szCs w:val="22"/>
                <w:lang w:val="en-GB" w:eastAsia="en-US"/>
              </w:rPr>
            </w:pPr>
            <w:r w:rsidRPr="00F7606D">
              <w:rPr>
                <w:rFonts w:eastAsia="ScalaLancetPro" w:cs="ScalaLancetPro"/>
                <w:i/>
                <w:szCs w:val="22"/>
                <w:u w:val="single"/>
                <w:lang w:val="en-GB" w:eastAsia="en-US"/>
              </w:rPr>
              <w:t>Secondary endpoints:</w:t>
            </w:r>
            <w:r w:rsidRPr="00F7606D">
              <w:rPr>
                <w:rFonts w:eastAsia="ScalaLancetPro" w:cs="ScalaLancetPro"/>
                <w:szCs w:val="22"/>
                <w:lang w:val="en-GB" w:eastAsia="en-US"/>
              </w:rPr>
              <w:t xml:space="preserve"> time to 12 week sustained accumulation of disability; time to fi rst relapse, proportion of patients free from relapses, proportion of patients free of accumulation of disability, and change from baseline in EDSS score at week 48, and change in Fatigue Impact Scale (FIS) and Short Form-36 (SF-36) scores at week 48 and last study visit. </w:t>
            </w:r>
          </w:p>
          <w:p w:rsidR="00EA7D99" w:rsidRPr="00F7606D" w:rsidRDefault="00EA7D99" w:rsidP="00EA7D99">
            <w:pPr>
              <w:tabs>
                <w:tab w:val="clear" w:pos="510"/>
              </w:tabs>
              <w:autoSpaceDE w:val="0"/>
              <w:autoSpaceDN w:val="0"/>
              <w:adjustRightInd w:val="0"/>
              <w:spacing w:line="240" w:lineRule="auto"/>
              <w:contextualSpacing/>
              <w:jc w:val="both"/>
              <w:rPr>
                <w:rFonts w:eastAsia="ScalaLancetPro" w:cs="ScalaLancetPro"/>
                <w:szCs w:val="22"/>
                <w:lang w:val="en-GB" w:eastAsia="en-US"/>
              </w:rPr>
            </w:pPr>
          </w:p>
          <w:p w:rsidR="00EA7D99" w:rsidRPr="00F7606D" w:rsidRDefault="00EA7D99" w:rsidP="00EA7D99">
            <w:pPr>
              <w:tabs>
                <w:tab w:val="clear" w:pos="510"/>
              </w:tabs>
              <w:autoSpaceDE w:val="0"/>
              <w:autoSpaceDN w:val="0"/>
              <w:adjustRightInd w:val="0"/>
              <w:spacing w:line="240" w:lineRule="auto"/>
              <w:contextualSpacing/>
              <w:jc w:val="both"/>
              <w:rPr>
                <w:rFonts w:eastAsia="ScalaLancetPro" w:cs="ScalaLancetPro"/>
                <w:szCs w:val="22"/>
                <w:lang w:val="en-GB" w:eastAsia="en-US"/>
              </w:rPr>
            </w:pPr>
            <w:r w:rsidRPr="00F7606D">
              <w:rPr>
                <w:rFonts w:eastAsia="ScalaLancetPro" w:cs="ScalaLancetPro"/>
                <w:szCs w:val="22"/>
                <w:u w:val="single"/>
                <w:lang w:val="en-GB" w:eastAsia="en-US"/>
              </w:rPr>
              <w:t>Definitions used for endpoints:</w:t>
            </w:r>
            <w:r w:rsidRPr="00F7606D">
              <w:rPr>
                <w:rFonts w:eastAsia="ScalaLancetPro" w:cs="ScalaLancetPro"/>
                <w:szCs w:val="22"/>
                <w:lang w:val="en-GB" w:eastAsia="en-US"/>
              </w:rPr>
              <w:t xml:space="preserve"> </w:t>
            </w:r>
            <w:r w:rsidRPr="00F7606D">
              <w:rPr>
                <w:rFonts w:eastAsia="ScalaLancetPro" w:cs="ScalaLancetPro"/>
                <w:i/>
                <w:szCs w:val="22"/>
                <w:u w:val="single"/>
                <w:lang w:val="en-GB" w:eastAsia="en-US"/>
              </w:rPr>
              <w:t>Relapse</w:t>
            </w:r>
            <w:r w:rsidRPr="00F7606D">
              <w:rPr>
                <w:rFonts w:eastAsia="ScalaLancetPro" w:cs="ScalaLancetPro"/>
                <w:szCs w:val="22"/>
                <w:lang w:val="en-GB" w:eastAsia="en-US"/>
              </w:rPr>
              <w:t xml:space="preserve"> was defined as new or worsening clinical signs or symptoms lasting at least 24 h without fever. Protocol-defined relapse constituted an increase of either 1 point in at least two EDSS functional system scores, or 2 points in one EDSS functional system score (excluding bowel and bladder function, and cerebral function), or 0</w:t>
            </w:r>
            <w:r w:rsidRPr="00F7606D">
              <w:rPr>
                <w:rFonts w:eastAsia="ScalaLancetPro" w:cs="ScalaLancetPro"/>
                <w:szCs w:val="22"/>
                <w:lang w:val="en-GB" w:eastAsia="en-US"/>
              </w:rPr>
              <w:t>・</w:t>
            </w:r>
            <w:r w:rsidRPr="00F7606D">
              <w:rPr>
                <w:rFonts w:eastAsia="ScalaLancetPro" w:cs="ScalaLancetPro"/>
                <w:szCs w:val="22"/>
                <w:lang w:val="en-GB" w:eastAsia="en-US"/>
              </w:rPr>
              <w:t>5 points in total EDSS score from a previous clinically stable assessment time to 12 week sustained accumulation of disability, defined as an increase from baseline of at least 1 EDSS point (or ≥0</w:t>
            </w:r>
            <w:r w:rsidRPr="00F7606D">
              <w:rPr>
                <w:rFonts w:eastAsia="ScalaLancetPro" w:cs="ScalaLancetPro"/>
                <w:szCs w:val="22"/>
                <w:lang w:val="en-GB" w:eastAsia="en-US"/>
              </w:rPr>
              <w:t>・</w:t>
            </w:r>
            <w:r w:rsidRPr="00F7606D">
              <w:rPr>
                <w:rFonts w:eastAsia="ScalaLancetPro" w:cs="ScalaLancetPro"/>
                <w:szCs w:val="22"/>
                <w:lang w:val="en-GB" w:eastAsia="en-US"/>
              </w:rPr>
              <w:t>5 points when baseline EDSS score was &gt;5</w:t>
            </w:r>
            <w:r w:rsidRPr="00F7606D">
              <w:rPr>
                <w:rFonts w:eastAsia="ScalaLancetPro" w:cs="ScalaLancetPro"/>
                <w:szCs w:val="22"/>
                <w:lang w:val="en-GB" w:eastAsia="en-US"/>
              </w:rPr>
              <w:t>・</w:t>
            </w:r>
            <w:r w:rsidRPr="00F7606D">
              <w:rPr>
                <w:rFonts w:eastAsia="ScalaLancetPro" w:cs="ScalaLancetPro"/>
                <w:szCs w:val="22"/>
                <w:lang w:val="en-GB" w:eastAsia="en-US"/>
              </w:rPr>
              <w:t>5 points that persisted for at least 12 weeks</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Times"/>
                <w:szCs w:val="22"/>
                <w:lang w:val="en-GB" w:eastAsia="en-US"/>
              </w:rPr>
            </w:pPr>
            <w:r w:rsidRPr="00F7606D">
              <w:rPr>
                <w:rFonts w:eastAsiaTheme="minorHAnsi" w:cs="AdvPTimes"/>
                <w:szCs w:val="22"/>
                <w:lang w:val="en-GB" w:eastAsia="en-US"/>
              </w:rPr>
              <w:t>Treatment duration in TOWER was variable and ended 48 weeks after the last patient was randomized into the study</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autoSpaceDE w:val="0"/>
              <w:autoSpaceDN w:val="0"/>
              <w:adjustRightInd w:val="0"/>
              <w:spacing w:line="240" w:lineRule="auto"/>
              <w:contextualSpacing/>
              <w:jc w:val="both"/>
              <w:rPr>
                <w:rFonts w:cs="TimesNewRomanPSMT"/>
                <w:szCs w:val="22"/>
                <w:lang w:val="en-GB"/>
              </w:rPr>
            </w:pPr>
            <w:r w:rsidRPr="00F7606D">
              <w:rPr>
                <w:rFonts w:cs="TimesNewRomanPSMT"/>
                <w:szCs w:val="22"/>
                <w:lang w:val="en-GB"/>
              </w:rPr>
              <w:t>Mixed (based on exclusion criteria)</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Risk of bias</w:t>
            </w:r>
          </w:p>
        </w:tc>
      </w:tr>
      <w:tr w:rsidR="00EA7D99" w:rsidRPr="00F7606D" w:rsidTr="00EA7D99">
        <w:tc>
          <w:tcPr>
            <w:tcW w:w="4531"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rPr>
                <w:b/>
                <w:szCs w:val="22"/>
                <w:lang w:val="en-GB"/>
              </w:rPr>
            </w:pPr>
            <w:r w:rsidRPr="00F7606D">
              <w:rPr>
                <w:b/>
                <w:szCs w:val="22"/>
                <w:lang w:val="en-GB"/>
              </w:rPr>
              <w:t>Random sequence generation</w:t>
            </w:r>
          </w:p>
        </w:tc>
        <w:tc>
          <w:tcPr>
            <w:tcW w:w="4820"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ScalaLancetPro" w:cs="ScalaLancetPro"/>
                <w:szCs w:val="22"/>
                <w:lang w:val="en-GB" w:eastAsia="en-US"/>
              </w:rPr>
            </w:pPr>
            <w:r w:rsidRPr="00F7606D">
              <w:rPr>
                <w:szCs w:val="22"/>
                <w:lang w:val="en-GB"/>
              </w:rPr>
              <w:t xml:space="preserve">Adequate. </w:t>
            </w:r>
          </w:p>
        </w:tc>
      </w:tr>
      <w:tr w:rsidR="00EA7D99" w:rsidRPr="00685670" w:rsidTr="00EA7D99">
        <w:tc>
          <w:tcPr>
            <w:tcW w:w="4531"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Allocation concealment</w:t>
            </w:r>
          </w:p>
        </w:tc>
        <w:tc>
          <w:tcPr>
            <w:tcW w:w="4820"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ScalaLancetPro" w:cs="ScalaLancetPro"/>
                <w:szCs w:val="22"/>
                <w:lang w:val="en-GB" w:eastAsia="en-US"/>
              </w:rPr>
            </w:pPr>
            <w:r w:rsidRPr="00F7606D">
              <w:rPr>
                <w:szCs w:val="22"/>
                <w:lang w:val="en-GB"/>
              </w:rPr>
              <w:t>Adequate “</w:t>
            </w:r>
            <w:r w:rsidRPr="00F7606D">
              <w:rPr>
                <w:rFonts w:eastAsia="ScalaLancetPro" w:cs="ScalaLancetPro"/>
                <w:szCs w:val="22"/>
                <w:lang w:val="en-GB" w:eastAsia="en-US"/>
              </w:rPr>
              <w:t>After a screening phase (up to 4 weeks), investigators used the allocation sequence to randomly assign eligible patients”</w:t>
            </w:r>
          </w:p>
        </w:tc>
      </w:tr>
      <w:tr w:rsidR="00EA7D99" w:rsidRPr="00F7606D" w:rsidTr="00EA7D99">
        <w:tc>
          <w:tcPr>
            <w:tcW w:w="4531"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Blinding of participant and personnel</w:t>
            </w:r>
          </w:p>
        </w:tc>
        <w:tc>
          <w:tcPr>
            <w:tcW w:w="4820"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ScalaLancetPro" w:cs="ScalaLancetPro"/>
                <w:szCs w:val="22"/>
                <w:lang w:val="en-GB" w:eastAsia="en-US"/>
              </w:rPr>
            </w:pPr>
            <w:r w:rsidRPr="00F7606D">
              <w:rPr>
                <w:szCs w:val="22"/>
                <w:lang w:val="en-GB"/>
              </w:rPr>
              <w:t xml:space="preserve">Adequate. </w:t>
            </w:r>
          </w:p>
        </w:tc>
      </w:tr>
      <w:tr w:rsidR="00EA7D99" w:rsidRPr="00F7606D" w:rsidTr="00EA7D99">
        <w:tc>
          <w:tcPr>
            <w:tcW w:w="4531"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Blinding of outcome assessment</w:t>
            </w:r>
          </w:p>
        </w:tc>
        <w:tc>
          <w:tcPr>
            <w:tcW w:w="4820"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Adequate</w:t>
            </w:r>
          </w:p>
        </w:tc>
      </w:tr>
      <w:tr w:rsidR="00EA7D99" w:rsidRPr="00685670" w:rsidTr="00EA7D99">
        <w:tc>
          <w:tcPr>
            <w:tcW w:w="4531"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Incomplete outcome data</w:t>
            </w:r>
          </w:p>
        </w:tc>
        <w:tc>
          <w:tcPr>
            <w:tcW w:w="4820"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szCs w:val="22"/>
                <w:lang w:val="en-GB"/>
              </w:rPr>
            </w:pPr>
            <w:r w:rsidRPr="00F7606D">
              <w:rPr>
                <w:szCs w:val="22"/>
                <w:lang w:val="en-GB"/>
              </w:rPr>
              <w:t>Adequate</w:t>
            </w:r>
          </w:p>
          <w:p w:rsidR="00EA7D99" w:rsidRPr="00F7606D" w:rsidRDefault="00EA7D99" w:rsidP="00EA7D99">
            <w:pPr>
              <w:tabs>
                <w:tab w:val="clear" w:pos="510"/>
              </w:tabs>
              <w:autoSpaceDE w:val="0"/>
              <w:autoSpaceDN w:val="0"/>
              <w:adjustRightInd w:val="0"/>
              <w:spacing w:line="240" w:lineRule="auto"/>
              <w:contextualSpacing/>
              <w:jc w:val="both"/>
              <w:rPr>
                <w:rFonts w:eastAsia="ScalaLancetPro" w:cs="ScalaLancetPro"/>
                <w:szCs w:val="22"/>
                <w:lang w:val="en-GB" w:eastAsia="en-US"/>
              </w:rPr>
            </w:pPr>
            <w:r w:rsidRPr="00F7606D">
              <w:rPr>
                <w:szCs w:val="22"/>
                <w:lang w:val="en-GB"/>
              </w:rPr>
              <w:t>Intention to treat analysis</w:t>
            </w:r>
          </w:p>
        </w:tc>
      </w:tr>
      <w:tr w:rsidR="00EA7D99" w:rsidRPr="00F7606D" w:rsidTr="00EA7D99">
        <w:tc>
          <w:tcPr>
            <w:tcW w:w="4531"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Selective reporting</w:t>
            </w:r>
          </w:p>
        </w:tc>
        <w:tc>
          <w:tcPr>
            <w:tcW w:w="4820"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None detected</w:t>
            </w:r>
          </w:p>
        </w:tc>
      </w:tr>
      <w:tr w:rsidR="00EA7D99" w:rsidRPr="00F7606D" w:rsidTr="00EA7D99">
        <w:tc>
          <w:tcPr>
            <w:tcW w:w="4531"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Other sources of bias</w:t>
            </w:r>
          </w:p>
        </w:tc>
        <w:tc>
          <w:tcPr>
            <w:tcW w:w="4820"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ScalaLancetPro" w:cs="ScalaLancetPro"/>
                <w:szCs w:val="22"/>
                <w:lang w:val="en-GB" w:eastAsia="en-US"/>
              </w:rPr>
            </w:pPr>
            <w:r w:rsidRPr="00F7606D">
              <w:rPr>
                <w:rFonts w:eastAsia="ScalaLancetPro" w:cs="ScalaLancetPro"/>
                <w:szCs w:val="22"/>
                <w:lang w:val="en-GB" w:eastAsia="en-US"/>
              </w:rPr>
              <w:t>Funding: manufacturer</w:t>
            </w:r>
          </w:p>
        </w:tc>
      </w:tr>
    </w:tbl>
    <w:p w:rsidR="00EA7D99" w:rsidRPr="00F7606D" w:rsidRDefault="00EA7D99" w:rsidP="00EA7D99">
      <w:pPr>
        <w:spacing w:line="240" w:lineRule="auto"/>
        <w:rPr>
          <w:b/>
          <w:i/>
        </w:rPr>
      </w:pPr>
    </w:p>
    <w:p w:rsidR="00EA7D99" w:rsidRPr="00F7606D" w:rsidRDefault="00EA7D99" w:rsidP="004B4975">
      <w:pPr>
        <w:pStyle w:val="41"/>
        <w:numPr>
          <w:ilvl w:val="0"/>
          <w:numId w:val="0"/>
        </w:numPr>
        <w:spacing w:line="240" w:lineRule="auto"/>
        <w:contextualSpacing/>
        <w:jc w:val="both"/>
        <w:rPr>
          <w:szCs w:val="22"/>
          <w:lang w:val="en-GB"/>
        </w:rPr>
      </w:pPr>
      <w:r w:rsidRPr="00F7606D">
        <w:rPr>
          <w:szCs w:val="22"/>
          <w:lang w:val="en-GB"/>
        </w:rPr>
        <w:t>TENERE-(</w:t>
      </w:r>
      <w:r w:rsidRPr="00F7606D">
        <w:rPr>
          <w:rFonts w:eastAsiaTheme="minorHAnsi" w:cs="TimesNewRomanPSMT"/>
          <w:szCs w:val="22"/>
          <w:lang w:val="en-GB" w:eastAsia="en-US"/>
        </w:rPr>
        <w:t>(TErifluNomidE and REbifR) )</w:t>
      </w:r>
      <w:r w:rsidRPr="00F7606D">
        <w:rPr>
          <w:szCs w:val="22"/>
          <w:lang w:val="en-GB"/>
        </w:rPr>
        <w:t xml:space="preserve">study, Vermersch et al. </w:t>
      </w:r>
      <w:r w:rsidR="00852BF9">
        <w:rPr>
          <w:szCs w:val="22"/>
          <w:lang w:val="en-GB"/>
        </w:rPr>
        <w:t>(</w:t>
      </w:r>
      <w:r w:rsidRPr="00F7606D">
        <w:rPr>
          <w:szCs w:val="22"/>
          <w:lang w:val="en-GB"/>
        </w:rPr>
        <w:t>2014</w:t>
      </w:r>
      <w:r w:rsidR="00852BF9">
        <w:rPr>
          <w:szCs w:val="22"/>
          <w:lang w:val="en-GB"/>
        </w:rPr>
        <w:t>)</w:t>
      </w:r>
      <w:r w:rsidRPr="00F7606D">
        <w:rPr>
          <w:szCs w:val="22"/>
          <w:lang w:val="en-GB"/>
        </w:rPr>
        <w:t xml:space="preserve">, not included in </w:t>
      </w:r>
      <w:r w:rsidR="00663354">
        <w:rPr>
          <w:szCs w:val="22"/>
          <w:lang w:val="en-GB"/>
        </w:rPr>
        <w:t>Tran</w:t>
      </w:r>
      <w:r w:rsidRPr="00F7606D">
        <w:rPr>
          <w:szCs w:val="22"/>
          <w:lang w:val="en-GB"/>
        </w:rPr>
        <w:t xml:space="preserve"> et al. </w:t>
      </w:r>
      <w:r w:rsidR="00852BF9">
        <w:rPr>
          <w:szCs w:val="22"/>
          <w:lang w:val="en-GB"/>
        </w:rPr>
        <w:t>(2013)</w:t>
      </w:r>
    </w:p>
    <w:tbl>
      <w:tblPr>
        <w:tblStyle w:val="afff"/>
        <w:tblW w:w="9351" w:type="dxa"/>
        <w:tblLook w:val="04A0"/>
      </w:tblPr>
      <w:tblGrid>
        <w:gridCol w:w="2687"/>
        <w:gridCol w:w="1559"/>
        <w:gridCol w:w="5105"/>
      </w:tblGrid>
      <w:tr w:rsidR="00EA7D99" w:rsidRPr="00F7606D"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RCT identification</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GillSansStd" w:cs="GillSansStd"/>
                <w:szCs w:val="22"/>
                <w:lang w:val="en-GB" w:eastAsia="en-US"/>
              </w:rPr>
            </w:pPr>
            <w:r w:rsidRPr="00F7606D">
              <w:rPr>
                <w:rFonts w:eastAsia="GillSansStd" w:cs="GillSansStd"/>
                <w:szCs w:val="22"/>
                <w:lang w:val="en-GB" w:eastAsia="en-US"/>
              </w:rPr>
              <w:t>NCT00883337</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Study setting</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szCs w:val="22"/>
                <w:lang w:val="en-GB" w:eastAsia="en-US"/>
              </w:rPr>
            </w:pPr>
            <w:r w:rsidRPr="00F7606D">
              <w:rPr>
                <w:rFonts w:eastAsiaTheme="minorHAnsi" w:cs="TimesNewRomanPSMT"/>
                <w:szCs w:val="22"/>
                <w:lang w:val="en-GB" w:eastAsia="en-US"/>
              </w:rPr>
              <w:t xml:space="preserve">Rater-blinded study, randomized </w:t>
            </w:r>
            <w:r w:rsidRPr="00F7606D">
              <w:rPr>
                <w:rFonts w:eastAsiaTheme="minorHAnsi"/>
                <w:szCs w:val="22"/>
                <w:lang w:val="en-GB" w:eastAsia="en-US"/>
              </w:rPr>
              <w:t>multicentre study</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 xml:space="preserve">Participants </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TimesNewRomanPSMT"/>
                <w:szCs w:val="22"/>
                <w:lang w:val="en-GB" w:eastAsia="en-US"/>
              </w:rPr>
            </w:pPr>
            <w:r w:rsidRPr="00F7606D">
              <w:rPr>
                <w:rFonts w:eastAsiaTheme="minorHAnsi" w:cs="TimesNewRomanPSMT"/>
                <w:i/>
                <w:szCs w:val="22"/>
                <w:u w:val="single"/>
                <w:lang w:val="en-GB" w:eastAsia="en-US"/>
              </w:rPr>
              <w:t>Eligibility criteria:</w:t>
            </w:r>
            <w:r w:rsidRPr="00F7606D">
              <w:rPr>
                <w:rFonts w:eastAsiaTheme="minorHAnsi" w:cs="TimesNewRomanPSMT"/>
                <w:szCs w:val="22"/>
                <w:lang w:val="en-GB" w:eastAsia="en-US"/>
              </w:rPr>
              <w:t xml:space="preserve"> 18 years of age and older who met McDonald criteria for MS,13 had a relapsing clinical course with or without progression, and an Expanded Disability Status Scale (EDSS) score ≤5.5 at screening.14 Patients had to be relapse free for 30 days prior to randomisation.</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TimesNewRomanPSMT"/>
                <w:szCs w:val="22"/>
                <w:lang w:val="en-GB" w:eastAsia="en-US"/>
              </w:rPr>
            </w:pPr>
            <w:r w:rsidRPr="00F7606D">
              <w:rPr>
                <w:rFonts w:eastAsiaTheme="minorHAnsi" w:cs="TimesNewRomanPSMT"/>
                <w:i/>
                <w:szCs w:val="22"/>
                <w:u w:val="single"/>
                <w:lang w:val="en-GB" w:eastAsia="en-US"/>
              </w:rPr>
              <w:t>Key exclusion criteria:</w:t>
            </w:r>
            <w:r w:rsidRPr="00F7606D">
              <w:rPr>
                <w:rFonts w:eastAsiaTheme="minorHAnsi" w:cs="TimesNewRomanPSMT"/>
                <w:szCs w:val="22"/>
                <w:lang w:val="en-GB" w:eastAsia="en-US"/>
              </w:rPr>
              <w:t xml:space="preserve"> several restriction in previous and concomitant medications, and relevant illnesses.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TimesNewRomanPSMT"/>
                <w:szCs w:val="22"/>
                <w:lang w:val="en-GB" w:eastAsia="en-US"/>
              </w:rPr>
            </w:pPr>
            <w:r w:rsidRPr="00F7606D">
              <w:rPr>
                <w:rFonts w:eastAsiaTheme="minorHAnsi" w:cs="TimesNewRomanPSMT"/>
                <w:szCs w:val="22"/>
                <w:u w:val="single"/>
                <w:lang w:val="en-GB" w:eastAsia="en-US"/>
              </w:rPr>
              <w:t>Baseline characteristics (group):</w:t>
            </w:r>
            <w:r w:rsidRPr="00F7606D">
              <w:rPr>
                <w:rFonts w:eastAsiaTheme="minorHAnsi" w:cs="TimesNewRomanPSMT"/>
                <w:szCs w:val="22"/>
                <w:lang w:val="en-GB" w:eastAsia="en-US"/>
              </w:rPr>
              <w:t xml:space="preserve"> Age 37+/-11; 68% female: EDSS 2,0+/-1,2</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b/>
                <w:szCs w:val="22"/>
                <w:lang w:val="en-GB"/>
              </w:rPr>
            </w:pPr>
            <w:r w:rsidRPr="00F7606D">
              <w:rPr>
                <w:b/>
                <w:szCs w:val="22"/>
                <w:lang w:val="en-GB"/>
              </w:rPr>
              <w:t>Intervention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GillSansStd" w:cs="GillSansStd"/>
                <w:szCs w:val="22"/>
                <w:lang w:val="en-GB" w:eastAsia="en-US"/>
              </w:rPr>
            </w:pPr>
            <w:r w:rsidRPr="00F7606D">
              <w:rPr>
                <w:rFonts w:eastAsia="GillSansStd" w:cs="GillSansStd"/>
                <w:szCs w:val="22"/>
                <w:lang w:val="en-GB" w:eastAsia="en-US"/>
              </w:rPr>
              <w:t>Teriflunomide 14 mg oral once daily (n=111)</w:t>
            </w:r>
          </w:p>
          <w:p w:rsidR="00EA7D99" w:rsidRPr="00F7606D" w:rsidRDefault="00EA7D99" w:rsidP="00EA7D99">
            <w:pPr>
              <w:tabs>
                <w:tab w:val="clear" w:pos="510"/>
              </w:tabs>
              <w:autoSpaceDE w:val="0"/>
              <w:autoSpaceDN w:val="0"/>
              <w:adjustRightInd w:val="0"/>
              <w:spacing w:line="240" w:lineRule="auto"/>
              <w:contextualSpacing/>
              <w:jc w:val="both"/>
              <w:rPr>
                <w:rFonts w:eastAsia="GillSansStd" w:cs="GillSansStd"/>
                <w:szCs w:val="22"/>
                <w:lang w:val="en-GB" w:eastAsia="en-US"/>
              </w:rPr>
            </w:pPr>
            <w:r w:rsidRPr="00F7606D">
              <w:rPr>
                <w:rFonts w:eastAsia="GillSansStd" w:cs="GillSansStd"/>
                <w:szCs w:val="22"/>
                <w:lang w:val="en-GB" w:eastAsia="en-US"/>
              </w:rPr>
              <w:t>Teriflunomide 7 mg oral once daily (n=109)</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Comparison group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AdvP641C"/>
                <w:szCs w:val="22"/>
                <w:lang w:val="en-GB" w:eastAsia="en-US"/>
              </w:rPr>
            </w:pPr>
            <w:r w:rsidRPr="00F7606D">
              <w:rPr>
                <w:rFonts w:eastAsiaTheme="minorHAnsi" w:cs="TimesNewRomanPSMT"/>
                <w:szCs w:val="22"/>
                <w:lang w:val="en-GB" w:eastAsia="en-US"/>
              </w:rPr>
              <w:t>Interferon beta-1a</w:t>
            </w:r>
            <w:r w:rsidRPr="00F7606D">
              <w:rPr>
                <w:rFonts w:eastAsia="GillSansStd" w:cs="GillSansStd"/>
                <w:szCs w:val="22"/>
                <w:lang w:val="en-GB" w:eastAsia="en-US"/>
              </w:rPr>
              <w:t xml:space="preserve"> 44mcg s.c three times/week (n=104)</w:t>
            </w:r>
          </w:p>
        </w:tc>
      </w:tr>
      <w:tr w:rsidR="00EA7D99" w:rsidRPr="00E02224"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Outcome</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GillSansStd" w:cs="GillSansStd"/>
                <w:szCs w:val="22"/>
                <w:lang w:val="en-GB" w:eastAsia="en-US"/>
              </w:rPr>
            </w:pPr>
            <w:r w:rsidRPr="00F7606D">
              <w:rPr>
                <w:rFonts w:eastAsia="GillSansStd" w:cs="GillSansStd"/>
                <w:i/>
                <w:szCs w:val="22"/>
                <w:u w:val="single"/>
                <w:lang w:val="en-GB" w:eastAsia="en-US"/>
              </w:rPr>
              <w:t>The primary endpoint:</w:t>
            </w:r>
            <w:r w:rsidRPr="00F7606D">
              <w:rPr>
                <w:rFonts w:eastAsia="GillSansStd" w:cs="GillSansStd"/>
                <w:szCs w:val="22"/>
                <w:lang w:val="en-GB" w:eastAsia="en-US"/>
              </w:rPr>
              <w:t xml:space="preserve"> time to failure, defined as first occurrence of confirmed relapse or permanent treatment discontinuation for any cause. Secondary endpoints included ARR, Fatigue Impact Scale (FIS) and Treatment Satisfaction Questionnaire for Medication (TSQM).</w:t>
            </w:r>
          </w:p>
          <w:p w:rsidR="00EA7D99" w:rsidRPr="00F7606D" w:rsidRDefault="00EA7D99" w:rsidP="00EA7D99">
            <w:pPr>
              <w:tabs>
                <w:tab w:val="clear" w:pos="510"/>
              </w:tabs>
              <w:autoSpaceDE w:val="0"/>
              <w:autoSpaceDN w:val="0"/>
              <w:adjustRightInd w:val="0"/>
              <w:spacing w:line="240" w:lineRule="auto"/>
              <w:contextualSpacing/>
              <w:jc w:val="both"/>
              <w:rPr>
                <w:rFonts w:eastAsia="GillSansStd" w:cs="GillSansStd"/>
                <w:szCs w:val="22"/>
                <w:lang w:val="en-GB" w:eastAsia="en-US"/>
              </w:rPr>
            </w:pP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TimesNewRomanPSMT"/>
                <w:szCs w:val="22"/>
                <w:lang w:val="en-GB" w:eastAsia="en-US"/>
              </w:rPr>
            </w:pPr>
            <w:r w:rsidRPr="00F7606D">
              <w:rPr>
                <w:rFonts w:eastAsia="GillSansStd" w:cs="GillSansStd"/>
                <w:szCs w:val="22"/>
                <w:u w:val="single"/>
                <w:lang w:val="en-GB" w:eastAsia="en-US"/>
              </w:rPr>
              <w:t>Definition used for:</w:t>
            </w:r>
            <w:r w:rsidRPr="00F7606D">
              <w:rPr>
                <w:rFonts w:eastAsia="GillSansStd" w:cs="GillSansStd"/>
                <w:szCs w:val="22"/>
                <w:lang w:val="en-GB" w:eastAsia="en-US"/>
              </w:rPr>
              <w:t xml:space="preserve"> </w:t>
            </w:r>
            <w:r w:rsidRPr="00F7606D">
              <w:rPr>
                <w:rFonts w:eastAsiaTheme="minorHAnsi" w:cs="TimesNewRomanPSMT"/>
                <w:i/>
                <w:szCs w:val="22"/>
                <w:u w:val="single"/>
                <w:lang w:val="en-GB" w:eastAsia="en-US"/>
              </w:rPr>
              <w:t>Relapse</w:t>
            </w:r>
            <w:r w:rsidRPr="00F7606D">
              <w:rPr>
                <w:rFonts w:eastAsiaTheme="minorHAnsi" w:cs="TimesNewRomanPSMT"/>
                <w:szCs w:val="22"/>
                <w:lang w:val="en-GB" w:eastAsia="en-US"/>
              </w:rPr>
              <w:t xml:space="preserve"> criteria a new clinical sign/symptom or clinical worsening of a previous sign/symptom (previously stable for at least 30 days) that persisted for at least 24 hours without fever. required a 1-point increase in each of two FS, a 2-point increase in at least one FS (excluding bowel/bladder and cerebral) or an increase of 0.5 points in EDSS score from the previous stable assessment.</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Follow-up</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TimesNewRomanPSMT"/>
                <w:szCs w:val="22"/>
                <w:lang w:val="en-GB" w:eastAsia="en-US"/>
              </w:rPr>
            </w:pPr>
            <w:r w:rsidRPr="00F7606D">
              <w:rPr>
                <w:rFonts w:eastAsiaTheme="minorHAnsi" w:cs="TimesNewRomanPSMT"/>
                <w:szCs w:val="22"/>
                <w:lang w:val="en-GB" w:eastAsia="en-US"/>
              </w:rPr>
              <w:t>48 weeks after the last patient was randomised, resulting in a variable duration of follow-up</w:t>
            </w:r>
          </w:p>
        </w:tc>
      </w:tr>
      <w:tr w:rsidR="00EA7D99" w:rsidRPr="00685670" w:rsidTr="00EA7D99">
        <w:tc>
          <w:tcPr>
            <w:tcW w:w="2687" w:type="dxa"/>
            <w:tcBorders>
              <w:top w:val="single" w:sz="4" w:space="0" w:color="auto"/>
              <w:left w:val="single" w:sz="4" w:space="0" w:color="auto"/>
              <w:bottom w:val="single" w:sz="4" w:space="0" w:color="auto"/>
              <w:right w:val="single" w:sz="4" w:space="0" w:color="auto"/>
            </w:tcBorders>
            <w:hideMark/>
          </w:tcPr>
          <w:p w:rsidR="00EA7D99" w:rsidRPr="00F7606D" w:rsidRDefault="00EA7D99" w:rsidP="00EA7D99">
            <w:pPr>
              <w:spacing w:line="240" w:lineRule="auto"/>
              <w:contextualSpacing/>
              <w:jc w:val="both"/>
              <w:rPr>
                <w:szCs w:val="22"/>
                <w:lang w:val="en-GB"/>
              </w:rPr>
            </w:pPr>
            <w:r w:rsidRPr="00F7606D">
              <w:rPr>
                <w:b/>
                <w:szCs w:val="22"/>
                <w:lang w:val="en-GB"/>
              </w:rPr>
              <w:t>Treatment history</w:t>
            </w:r>
          </w:p>
        </w:tc>
        <w:tc>
          <w:tcPr>
            <w:tcW w:w="6664"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autoSpaceDE w:val="0"/>
              <w:autoSpaceDN w:val="0"/>
              <w:adjustRightInd w:val="0"/>
              <w:spacing w:line="240" w:lineRule="auto"/>
              <w:contextualSpacing/>
              <w:jc w:val="both"/>
              <w:rPr>
                <w:rFonts w:cs="TimesNewRomanPSMT"/>
                <w:szCs w:val="22"/>
                <w:lang w:val="en-GB"/>
              </w:rPr>
            </w:pPr>
            <w:r w:rsidRPr="00F7606D">
              <w:rPr>
                <w:rFonts w:cs="TimesNewRomanPSMT"/>
                <w:szCs w:val="22"/>
                <w:lang w:val="en-GB"/>
              </w:rPr>
              <w:t>Mixed (based on exclusion criteria)</w:t>
            </w:r>
          </w:p>
        </w:tc>
      </w:tr>
      <w:tr w:rsidR="00EA7D99" w:rsidRPr="00F7606D" w:rsidTr="0075275D">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99" w:rsidRPr="00F7606D" w:rsidRDefault="00EA7D99" w:rsidP="00EA7D99">
            <w:pPr>
              <w:spacing w:line="240" w:lineRule="auto"/>
              <w:contextualSpacing/>
              <w:jc w:val="both"/>
              <w:rPr>
                <w:szCs w:val="22"/>
                <w:lang w:val="en-GB"/>
              </w:rPr>
            </w:pPr>
            <w:r w:rsidRPr="00F7606D">
              <w:rPr>
                <w:b/>
                <w:szCs w:val="22"/>
                <w:lang w:val="en-GB"/>
              </w:rPr>
              <w:t xml:space="preserve">Risk of bias </w:t>
            </w:r>
            <w:bookmarkStart w:id="16" w:name="_GoBack"/>
            <w:bookmarkEnd w:id="16"/>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Random sequence generation</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Unclear, not described</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Allocation concealment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TimesNewRomanPSMT"/>
                <w:szCs w:val="22"/>
                <w:lang w:val="en-GB" w:eastAsia="en-US"/>
              </w:rPr>
            </w:pPr>
            <w:r w:rsidRPr="00F7606D">
              <w:rPr>
                <w:szCs w:val="22"/>
                <w:lang w:val="en-GB"/>
              </w:rPr>
              <w:t>Unclear</w:t>
            </w:r>
          </w:p>
        </w:tc>
      </w:tr>
      <w:tr w:rsidR="00EA7D99" w:rsidRPr="00685670"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Blinding of participant and personnel</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 xml:space="preserve">No. Double blind for teriflunomide, open-label for </w:t>
            </w:r>
            <w:r w:rsidRPr="00F7606D">
              <w:rPr>
                <w:rFonts w:eastAsiaTheme="minorHAnsi" w:cs="TimesNewRomanPSMT"/>
                <w:szCs w:val="22"/>
                <w:lang w:val="en-GB" w:eastAsia="en-US"/>
              </w:rPr>
              <w:t>Interferon beta-1a</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Blinding of outcome assessment</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TimesNewRomanPSMT"/>
                <w:szCs w:val="22"/>
                <w:lang w:val="en-GB" w:eastAsia="en-US"/>
              </w:rPr>
            </w:pPr>
            <w:r w:rsidRPr="00F7606D">
              <w:rPr>
                <w:szCs w:val="22"/>
                <w:lang w:val="en-GB"/>
              </w:rPr>
              <w:t>Adequate</w:t>
            </w:r>
          </w:p>
        </w:tc>
      </w:tr>
      <w:tr w:rsidR="00EA7D99" w:rsidRPr="00685670"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Incomplete outcome data</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tabs>
                <w:tab w:val="clear" w:pos="510"/>
              </w:tabs>
              <w:autoSpaceDE w:val="0"/>
              <w:autoSpaceDN w:val="0"/>
              <w:adjustRightInd w:val="0"/>
              <w:spacing w:line="240" w:lineRule="auto"/>
              <w:contextualSpacing/>
              <w:jc w:val="both"/>
              <w:rPr>
                <w:rFonts w:eastAsiaTheme="minorHAnsi" w:cs="TimesNewRomanPSMT"/>
                <w:szCs w:val="22"/>
                <w:lang w:val="en-GB" w:eastAsia="en-US"/>
              </w:rPr>
            </w:pPr>
            <w:r w:rsidRPr="00F7606D">
              <w:rPr>
                <w:rFonts w:eastAsiaTheme="minorHAnsi" w:cs="TimesNewRomanPSMT"/>
                <w:szCs w:val="22"/>
                <w:lang w:val="en-GB" w:eastAsia="en-US"/>
              </w:rPr>
              <w:t>22.4% discontinued treatment due to AEs</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TimesNewRomanPSMT"/>
                <w:szCs w:val="22"/>
                <w:lang w:val="en-GB" w:eastAsia="en-US"/>
              </w:rPr>
            </w:pPr>
            <w:r w:rsidRPr="00F7606D">
              <w:rPr>
                <w:rFonts w:eastAsiaTheme="minorHAnsi" w:cs="TimesNewRomanPSMT"/>
                <w:szCs w:val="22"/>
                <w:lang w:val="en-GB" w:eastAsia="en-US"/>
              </w:rPr>
              <w:t xml:space="preserve">3 patients in IFN did not receive study drug. </w:t>
            </w: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TimesNewRomanPSMT"/>
                <w:szCs w:val="22"/>
                <w:lang w:val="en-GB" w:eastAsia="en-US"/>
              </w:rPr>
            </w:pPr>
          </w:p>
          <w:p w:rsidR="00EA7D99" w:rsidRPr="00F7606D" w:rsidRDefault="00EA7D99" w:rsidP="00EA7D99">
            <w:pPr>
              <w:tabs>
                <w:tab w:val="clear" w:pos="510"/>
              </w:tabs>
              <w:autoSpaceDE w:val="0"/>
              <w:autoSpaceDN w:val="0"/>
              <w:adjustRightInd w:val="0"/>
              <w:spacing w:line="240" w:lineRule="auto"/>
              <w:contextualSpacing/>
              <w:jc w:val="both"/>
              <w:rPr>
                <w:rFonts w:eastAsiaTheme="minorHAnsi" w:cs="TimesNewRomanPSMT"/>
                <w:szCs w:val="22"/>
                <w:lang w:val="en-GB" w:eastAsia="en-US"/>
              </w:rPr>
            </w:pPr>
            <w:r w:rsidRPr="00F7606D">
              <w:rPr>
                <w:rFonts w:eastAsiaTheme="minorHAnsi" w:cs="TimesNewRomanPSMT"/>
                <w:szCs w:val="22"/>
                <w:lang w:val="en-GB" w:eastAsia="en-US"/>
              </w:rPr>
              <w:t>Efficacy analyses: intention-to-treat population, The safety analysis included all randomized patients exposed to study medication.</w:t>
            </w:r>
          </w:p>
        </w:tc>
      </w:tr>
      <w:tr w:rsidR="00EA7D99" w:rsidRPr="00F7606D"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Selective reporting</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Unclear</w:t>
            </w:r>
          </w:p>
        </w:tc>
      </w:tr>
      <w:tr w:rsidR="00EA7D99" w:rsidRPr="00685670" w:rsidTr="00EA7D99">
        <w:tc>
          <w:tcPr>
            <w:tcW w:w="4246" w:type="dxa"/>
            <w:gridSpan w:val="2"/>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b/>
                <w:szCs w:val="22"/>
                <w:lang w:val="en-GB"/>
              </w:rPr>
            </w:pPr>
            <w:r w:rsidRPr="00F7606D">
              <w:rPr>
                <w:b/>
                <w:szCs w:val="22"/>
                <w:lang w:val="en-GB"/>
              </w:rPr>
              <w:t>Other sources of bias</w:t>
            </w:r>
          </w:p>
        </w:tc>
        <w:tc>
          <w:tcPr>
            <w:tcW w:w="5105" w:type="dxa"/>
            <w:tcBorders>
              <w:top w:val="single" w:sz="4" w:space="0" w:color="auto"/>
              <w:left w:val="single" w:sz="4" w:space="0" w:color="auto"/>
              <w:bottom w:val="single" w:sz="4" w:space="0" w:color="auto"/>
              <w:right w:val="single" w:sz="4" w:space="0" w:color="auto"/>
            </w:tcBorders>
          </w:tcPr>
          <w:p w:rsidR="00EA7D99" w:rsidRPr="00F7606D" w:rsidRDefault="00EA7D99" w:rsidP="00EA7D99">
            <w:pPr>
              <w:spacing w:line="240" w:lineRule="auto"/>
              <w:contextualSpacing/>
              <w:jc w:val="both"/>
              <w:rPr>
                <w:szCs w:val="22"/>
                <w:lang w:val="en-GB"/>
              </w:rPr>
            </w:pPr>
            <w:r w:rsidRPr="00F7606D">
              <w:rPr>
                <w:szCs w:val="22"/>
                <w:lang w:val="en-GB"/>
              </w:rPr>
              <w:t>Authors declare conflict of interest in form of collaboration, employment or other with one or several of the pharmaceutical companies</w:t>
            </w:r>
          </w:p>
        </w:tc>
      </w:tr>
    </w:tbl>
    <w:p w:rsidR="00EA7D99" w:rsidRPr="004A331F" w:rsidRDefault="00EA7D99" w:rsidP="007B49B5">
      <w:pPr>
        <w:pStyle w:val="NormalBilledplassering"/>
        <w:rPr>
          <w:lang w:val="en-GB"/>
        </w:rPr>
      </w:pPr>
    </w:p>
    <w:p w:rsidR="007B49B5" w:rsidRPr="004A331F" w:rsidRDefault="007B49B5" w:rsidP="007B49B5">
      <w:pPr>
        <w:pStyle w:val="NormalBilledplassering"/>
        <w:rPr>
          <w:lang w:val="en-GB"/>
        </w:rPr>
      </w:pPr>
    </w:p>
    <w:p w:rsidR="00F15111" w:rsidRDefault="00F15111" w:rsidP="00F15111"/>
    <w:p w:rsidR="00F15111" w:rsidRDefault="00F15111" w:rsidP="00F15111"/>
    <w:p w:rsidR="00F15111" w:rsidRDefault="00F15111" w:rsidP="00F15111"/>
    <w:p w:rsidR="00F15111" w:rsidRDefault="00F15111" w:rsidP="00F15111"/>
    <w:p w:rsidR="00673431" w:rsidRDefault="00673431" w:rsidP="00F15111">
      <w:pPr>
        <w:pStyle w:val="20"/>
        <w:numPr>
          <w:ilvl w:val="0"/>
          <w:numId w:val="0"/>
        </w:numPr>
        <w:rPr>
          <w:rFonts w:ascii="Times New Roman" w:hAnsi="Times New Roman" w:cs="Times New Roman"/>
          <w:sz w:val="28"/>
        </w:rPr>
        <w:sectPr w:rsidR="00673431">
          <w:headerReference w:type="even" r:id="rId35"/>
          <w:footerReference w:type="default" r:id="rId36"/>
          <w:pgSz w:w="11906" w:h="16838"/>
          <w:pgMar w:top="1417" w:right="1417" w:bottom="1417" w:left="1417" w:header="708" w:footer="708" w:gutter="0"/>
          <w:cols w:space="708"/>
          <w:docGrid w:linePitch="360"/>
        </w:sectPr>
      </w:pPr>
    </w:p>
    <w:p w:rsidR="00E75A56" w:rsidRDefault="00F15111" w:rsidP="00E75A56">
      <w:pPr>
        <w:pStyle w:val="20"/>
        <w:numPr>
          <w:ilvl w:val="0"/>
          <w:numId w:val="0"/>
        </w:numPr>
        <w:rPr>
          <w:rFonts w:ascii="Times New Roman" w:hAnsi="Times New Roman" w:cs="Times New Roman"/>
          <w:sz w:val="28"/>
        </w:rPr>
      </w:pPr>
      <w:r>
        <w:rPr>
          <w:rFonts w:ascii="Times New Roman" w:hAnsi="Times New Roman" w:cs="Times New Roman"/>
          <w:sz w:val="28"/>
        </w:rPr>
        <w:t xml:space="preserve">Supplementary material </w:t>
      </w:r>
      <w:r w:rsidR="00845182">
        <w:rPr>
          <w:rFonts w:ascii="Times New Roman" w:hAnsi="Times New Roman" w:cs="Times New Roman"/>
          <w:sz w:val="28"/>
        </w:rPr>
        <w:t>1</w:t>
      </w:r>
      <w:r w:rsidR="000D044E">
        <w:rPr>
          <w:rFonts w:ascii="Times New Roman" w:hAnsi="Times New Roman" w:cs="Times New Roman"/>
          <w:sz w:val="28"/>
        </w:rPr>
        <w:t>2</w:t>
      </w:r>
      <w:r w:rsidR="00673431">
        <w:rPr>
          <w:rFonts w:ascii="Times New Roman" w:hAnsi="Times New Roman" w:cs="Times New Roman"/>
          <w:sz w:val="28"/>
        </w:rPr>
        <w:t xml:space="preserve"> </w:t>
      </w:r>
      <w:r>
        <w:rPr>
          <w:rFonts w:ascii="Times New Roman" w:hAnsi="Times New Roman" w:cs="Times New Roman"/>
          <w:sz w:val="28"/>
        </w:rPr>
        <w:t xml:space="preserve">Estimates of </w:t>
      </w:r>
      <w:r w:rsidR="00673431">
        <w:rPr>
          <w:rFonts w:ascii="Times New Roman" w:hAnsi="Times New Roman" w:cs="Times New Roman"/>
          <w:sz w:val="28"/>
        </w:rPr>
        <w:t>annual</w:t>
      </w:r>
      <w:r>
        <w:rPr>
          <w:rFonts w:ascii="Times New Roman" w:hAnsi="Times New Roman" w:cs="Times New Roman"/>
          <w:sz w:val="28"/>
        </w:rPr>
        <w:t xml:space="preserve"> relapse and quality ratings for direct and indirect comparisons from network meta-analysis</w:t>
      </w:r>
    </w:p>
    <w:p w:rsidR="00E75A56" w:rsidRPr="00E75A56" w:rsidRDefault="00E75A56" w:rsidP="00C92EA7">
      <w:r w:rsidRPr="00E75A56">
        <w:rPr>
          <w:noProof/>
          <w:lang w:val="en-US" w:eastAsia="zh-CN"/>
        </w:rPr>
        <w:drawing>
          <wp:inline distT="0" distB="0" distL="0" distR="0">
            <wp:extent cx="8480163" cy="3476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967"/>
                    <a:stretch/>
                  </pic:blipFill>
                  <pic:spPr bwMode="auto">
                    <a:xfrm>
                      <a:off x="0" y="0"/>
                      <a:ext cx="8482239" cy="347729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15111" w:rsidRPr="00F15111" w:rsidRDefault="00F15111" w:rsidP="00F15111">
      <w:pPr>
        <w:rPr>
          <w:b/>
        </w:rPr>
      </w:pPr>
      <w:r w:rsidRPr="00F7606D">
        <w:rPr>
          <w:i/>
          <w:color w:val="000000"/>
          <w:sz w:val="18"/>
          <w:szCs w:val="18"/>
        </w:rPr>
        <w:t xml:space="preserve">RR= relative ratio, CI= confidence interval, mg= milligrams, </w:t>
      </w:r>
      <w:r w:rsidRPr="00F7606D">
        <w:rPr>
          <w:i/>
          <w:sz w:val="18"/>
          <w:szCs w:val="18"/>
        </w:rPr>
        <w:t>mcg= micrograms, SC= subcutaneous, IM= intra muscular, q.d.= once daily, q.w.=once weekly, t.i.w.= three times weekly, 2.i.d= two times daily, t.i.d= three times daily, 1/2 w=once every 2 weeks, 1/4 w=once every 4 weeks, 1/2 d= once every two days, NA=Not applicable (no available data).</w:t>
      </w:r>
    </w:p>
    <w:p w:rsidR="00F15111" w:rsidRDefault="00F15111" w:rsidP="00F15111">
      <w:pPr>
        <w:pStyle w:val="20"/>
        <w:numPr>
          <w:ilvl w:val="0"/>
          <w:numId w:val="0"/>
        </w:numPr>
        <w:rPr>
          <w:rFonts w:ascii="Times New Roman" w:hAnsi="Times New Roman" w:cs="Times New Roman"/>
          <w:sz w:val="28"/>
        </w:rPr>
      </w:pPr>
      <w:r>
        <w:rPr>
          <w:rFonts w:ascii="Times New Roman" w:hAnsi="Times New Roman" w:cs="Times New Roman"/>
          <w:sz w:val="28"/>
        </w:rPr>
        <w:t xml:space="preserve">Supplementary material </w:t>
      </w:r>
      <w:r w:rsidR="00C92EA7">
        <w:rPr>
          <w:rFonts w:ascii="Times New Roman" w:hAnsi="Times New Roman" w:cs="Times New Roman"/>
          <w:sz w:val="28"/>
        </w:rPr>
        <w:t>1</w:t>
      </w:r>
      <w:r w:rsidR="000D044E">
        <w:rPr>
          <w:rFonts w:ascii="Times New Roman" w:hAnsi="Times New Roman" w:cs="Times New Roman"/>
          <w:sz w:val="28"/>
        </w:rPr>
        <w:t>3</w:t>
      </w:r>
      <w:r w:rsidR="00C92EA7">
        <w:rPr>
          <w:rFonts w:ascii="Times New Roman" w:hAnsi="Times New Roman" w:cs="Times New Roman"/>
          <w:sz w:val="28"/>
        </w:rPr>
        <w:t xml:space="preserve"> </w:t>
      </w:r>
      <w:r>
        <w:rPr>
          <w:rFonts w:ascii="Times New Roman" w:hAnsi="Times New Roman" w:cs="Times New Roman"/>
          <w:sz w:val="28"/>
        </w:rPr>
        <w:t>Estimates of disability progression and quality ratings for direct and indirect comparisons from network meta-analysis</w:t>
      </w:r>
    </w:p>
    <w:p w:rsidR="00673431" w:rsidRPr="00673431" w:rsidRDefault="00673431" w:rsidP="00673431"/>
    <w:p w:rsidR="00F15111" w:rsidRPr="00F7606D" w:rsidRDefault="00F15111" w:rsidP="00F15111">
      <w:pPr>
        <w:pStyle w:val="afff6"/>
        <w:jc w:val="both"/>
        <w:rPr>
          <w:i/>
          <w:color w:val="000000"/>
          <w:sz w:val="18"/>
          <w:szCs w:val="18"/>
          <w:lang w:val="en-GB" w:eastAsia="en-US"/>
        </w:rPr>
      </w:pPr>
      <w:r w:rsidRPr="00CF611D">
        <w:rPr>
          <w:lang w:eastAsia="zh-CN"/>
        </w:rPr>
        <w:drawing>
          <wp:inline distT="0" distB="0" distL="0" distR="0">
            <wp:extent cx="9253220" cy="31389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3220" cy="3138927"/>
                    </a:xfrm>
                    <a:prstGeom prst="rect">
                      <a:avLst/>
                    </a:prstGeom>
                    <a:noFill/>
                    <a:ln>
                      <a:noFill/>
                    </a:ln>
                  </pic:spPr>
                </pic:pic>
              </a:graphicData>
            </a:graphic>
          </wp:inline>
        </w:drawing>
      </w:r>
    </w:p>
    <w:p w:rsidR="00F15111" w:rsidRPr="00F7606D" w:rsidRDefault="00F15111" w:rsidP="00F15111">
      <w:pPr>
        <w:pStyle w:val="afff6"/>
        <w:jc w:val="both"/>
        <w:rPr>
          <w:i/>
          <w:sz w:val="18"/>
          <w:szCs w:val="18"/>
          <w:lang w:val="en-GB"/>
        </w:rPr>
      </w:pPr>
      <w:r w:rsidRPr="00F7606D">
        <w:rPr>
          <w:i/>
          <w:color w:val="000000"/>
          <w:sz w:val="18"/>
          <w:szCs w:val="18"/>
          <w:lang w:val="en-GB" w:eastAsia="en-US"/>
        </w:rPr>
        <w:t xml:space="preserve">RR= relative ratio, CI= confidence interval, mg= milligrams, </w:t>
      </w:r>
      <w:r w:rsidRPr="00F7606D">
        <w:rPr>
          <w:i/>
          <w:sz w:val="18"/>
          <w:szCs w:val="18"/>
          <w:lang w:val="en-GB"/>
        </w:rPr>
        <w:t>mcg= micrograms, SC= subcutaneous, IM= intra muscular, q.d.= once daily, q.w.=once weekly, t.i.w.= three times weekly, 2.i.d= two times daily, t.i.d= three times daily, 1/2 w=once every 2 weeks, 1/4 w=once every 4 weeks.</w:t>
      </w:r>
    </w:p>
    <w:p w:rsidR="00F15111" w:rsidRDefault="00F15111" w:rsidP="00F15111"/>
    <w:p w:rsidR="00673431" w:rsidRDefault="00673431" w:rsidP="00F15111"/>
    <w:p w:rsidR="00673431" w:rsidRDefault="00673431" w:rsidP="00F15111"/>
    <w:p w:rsidR="00F15111" w:rsidRDefault="00F15111" w:rsidP="00F15111">
      <w:pPr>
        <w:pStyle w:val="20"/>
        <w:numPr>
          <w:ilvl w:val="0"/>
          <w:numId w:val="0"/>
        </w:numPr>
        <w:rPr>
          <w:rFonts w:ascii="Times New Roman" w:hAnsi="Times New Roman" w:cs="Times New Roman"/>
          <w:sz w:val="28"/>
        </w:rPr>
      </w:pPr>
      <w:r>
        <w:rPr>
          <w:rFonts w:ascii="Times New Roman" w:hAnsi="Times New Roman" w:cs="Times New Roman"/>
          <w:sz w:val="28"/>
        </w:rPr>
        <w:t xml:space="preserve">Supplementary material </w:t>
      </w:r>
      <w:r w:rsidR="00C92EA7">
        <w:rPr>
          <w:rFonts w:ascii="Times New Roman" w:hAnsi="Times New Roman" w:cs="Times New Roman"/>
          <w:sz w:val="28"/>
        </w:rPr>
        <w:t>1</w:t>
      </w:r>
      <w:r w:rsidR="000D044E">
        <w:rPr>
          <w:rFonts w:ascii="Times New Roman" w:hAnsi="Times New Roman" w:cs="Times New Roman"/>
          <w:sz w:val="28"/>
        </w:rPr>
        <w:t xml:space="preserve">4 </w:t>
      </w:r>
      <w:r w:rsidR="00B51A61">
        <w:rPr>
          <w:rFonts w:ascii="Times New Roman" w:hAnsi="Times New Roman" w:cs="Times New Roman"/>
          <w:sz w:val="28"/>
        </w:rPr>
        <w:t>W</w:t>
      </w:r>
      <w:r w:rsidR="00673431" w:rsidRPr="00673431">
        <w:rPr>
          <w:rFonts w:ascii="Times New Roman" w:hAnsi="Times New Roman" w:cs="Times New Roman"/>
          <w:sz w:val="28"/>
        </w:rPr>
        <w:t>ithdrawal due to adverse events</w:t>
      </w:r>
      <w:r w:rsidR="00673431">
        <w:rPr>
          <w:rFonts w:ascii="Times New Roman" w:hAnsi="Times New Roman" w:cs="Times New Roman"/>
          <w:sz w:val="28"/>
        </w:rPr>
        <w:t xml:space="preserve"> </w:t>
      </w:r>
      <w:r>
        <w:rPr>
          <w:rFonts w:ascii="Times New Roman" w:hAnsi="Times New Roman" w:cs="Times New Roman"/>
          <w:sz w:val="28"/>
        </w:rPr>
        <w:t>from network meta-analysis</w:t>
      </w:r>
    </w:p>
    <w:p w:rsidR="00B51A61" w:rsidRPr="00B51A61" w:rsidRDefault="00B51A61" w:rsidP="00B51A61"/>
    <w:p w:rsidR="00B51A61" w:rsidRDefault="00B51A61" w:rsidP="00B51A61">
      <w:r w:rsidRPr="00F7606D">
        <w:rPr>
          <w:rFonts w:ascii="Georgia" w:hAnsi="Georgia" w:cs="Arial"/>
          <w:noProof/>
          <w:color w:val="000000"/>
          <w:sz w:val="20"/>
          <w:szCs w:val="20"/>
          <w:lang w:val="en-US" w:eastAsia="zh-CN"/>
        </w:rPr>
        <w:drawing>
          <wp:inline distT="0" distB="0" distL="0" distR="0">
            <wp:extent cx="5396865" cy="3428365"/>
            <wp:effectExtent l="0" t="0" r="0" b="63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tverk withdrawal due to AE_report.jpg"/>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96865" cy="3428365"/>
                    </a:xfrm>
                    <a:prstGeom prst="rect">
                      <a:avLst/>
                    </a:prstGeom>
                  </pic:spPr>
                </pic:pic>
              </a:graphicData>
            </a:graphic>
          </wp:inline>
        </w:drawing>
      </w:r>
    </w:p>
    <w:p w:rsidR="00B51A61" w:rsidRDefault="00B51A61" w:rsidP="00B51A61">
      <w:pPr>
        <w:rPr>
          <w:i/>
        </w:rPr>
      </w:pPr>
      <w:r w:rsidRPr="00B51A61">
        <w:rPr>
          <w:b/>
          <w:i/>
        </w:rPr>
        <w:t xml:space="preserve">Figure </w:t>
      </w:r>
      <w:r>
        <w:rPr>
          <w:b/>
          <w:i/>
        </w:rPr>
        <w:t>1</w:t>
      </w:r>
      <w:r w:rsidR="004E3D80">
        <w:rPr>
          <w:b/>
          <w:i/>
        </w:rPr>
        <w:t>4</w:t>
      </w:r>
      <w:r>
        <w:rPr>
          <w:b/>
          <w:i/>
        </w:rPr>
        <w:t>.1</w:t>
      </w:r>
      <w:r w:rsidRPr="00B51A61">
        <w:rPr>
          <w:b/>
          <w:i/>
        </w:rPr>
        <w:t>.</w:t>
      </w:r>
      <w:r w:rsidRPr="00B51A61">
        <w:rPr>
          <w:i/>
        </w:rPr>
        <w:t xml:space="preserve"> Evidence network for withdrawal due to adverse events</w:t>
      </w:r>
    </w:p>
    <w:p w:rsidR="00B51A61" w:rsidRDefault="00B51A61" w:rsidP="00B51A61">
      <w:pPr>
        <w:rPr>
          <w:i/>
        </w:rPr>
      </w:pPr>
    </w:p>
    <w:p w:rsidR="00B51A61" w:rsidRPr="00B51A61" w:rsidRDefault="00B51A61" w:rsidP="00B51A61">
      <w:pPr>
        <w:rPr>
          <w:i/>
        </w:rPr>
      </w:pPr>
      <w:r w:rsidRPr="00435B8F">
        <w:rPr>
          <w:b/>
        </w:rPr>
        <w:t>Table 1</w:t>
      </w:r>
      <w:r w:rsidR="004E3D80">
        <w:rPr>
          <w:b/>
        </w:rPr>
        <w:t>4</w:t>
      </w:r>
      <w:r>
        <w:rPr>
          <w:b/>
        </w:rPr>
        <w:t>.</w:t>
      </w:r>
      <w:r w:rsidRPr="00435B8F">
        <w:rPr>
          <w:b/>
        </w:rPr>
        <w:t>1.</w:t>
      </w:r>
      <w:r>
        <w:rPr>
          <w:i/>
        </w:rPr>
        <w:t xml:space="preserve"> Relative risk for </w:t>
      </w:r>
      <w:r w:rsidRPr="00B51A61">
        <w:rPr>
          <w:i/>
        </w:rPr>
        <w:t>withdrawal due to adverse events</w:t>
      </w:r>
    </w:p>
    <w:p w:rsidR="00F15111" w:rsidRPr="00F7606D" w:rsidRDefault="00F15111" w:rsidP="00F15111">
      <w:pPr>
        <w:rPr>
          <w:rFonts w:cs="Arial"/>
          <w:i/>
          <w:color w:val="000000"/>
          <w:u w:val="single"/>
        </w:rPr>
      </w:pPr>
      <w:r w:rsidRPr="000822B4">
        <w:rPr>
          <w:noProof/>
          <w:lang w:val="en-US" w:eastAsia="zh-CN"/>
        </w:rPr>
        <w:drawing>
          <wp:inline distT="0" distB="0" distL="0" distR="0">
            <wp:extent cx="9253220" cy="3629402"/>
            <wp:effectExtent l="0" t="0" r="5080" b="9525"/>
            <wp:docPr id="245" name="Bild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3220" cy="3629402"/>
                    </a:xfrm>
                    <a:prstGeom prst="rect">
                      <a:avLst/>
                    </a:prstGeom>
                    <a:noFill/>
                    <a:ln>
                      <a:noFill/>
                    </a:ln>
                  </pic:spPr>
                </pic:pic>
              </a:graphicData>
            </a:graphic>
          </wp:inline>
        </w:drawing>
      </w:r>
    </w:p>
    <w:p w:rsidR="00F15111" w:rsidRPr="00F7606D" w:rsidRDefault="00F15111" w:rsidP="00F15111">
      <w:pPr>
        <w:rPr>
          <w:i/>
          <w:sz w:val="18"/>
          <w:szCs w:val="18"/>
        </w:rPr>
      </w:pPr>
      <w:r w:rsidRPr="00F7606D">
        <w:rPr>
          <w:i/>
          <w:color w:val="000000"/>
          <w:sz w:val="18"/>
          <w:szCs w:val="18"/>
        </w:rPr>
        <w:t xml:space="preserve">RR= relative ratio, CI= confidence interval, mg= milligrams, </w:t>
      </w:r>
      <w:r w:rsidRPr="00F7606D">
        <w:rPr>
          <w:i/>
          <w:sz w:val="18"/>
          <w:szCs w:val="18"/>
        </w:rPr>
        <w:t>mcg= micrograms, SC= subcutaneous, IM= intra muscular, q.d.= once daily, q.w.=once weekly, t.i.w.= three times weekly, 2.i.d= two times daily, t.i.d= three times daily, 1/2 w=once every 2 weeks, 1/4 w=once every 4 weeks.</w:t>
      </w:r>
    </w:p>
    <w:p w:rsidR="00673431" w:rsidRDefault="00673431" w:rsidP="00673431">
      <w:pPr>
        <w:sectPr w:rsidR="00673431" w:rsidSect="00673431">
          <w:pgSz w:w="16838" w:h="11906" w:orient="landscape"/>
          <w:pgMar w:top="1418" w:right="1418" w:bottom="1418" w:left="1418" w:header="709" w:footer="709" w:gutter="0"/>
          <w:cols w:space="708"/>
          <w:docGrid w:linePitch="360"/>
        </w:sectPr>
      </w:pPr>
    </w:p>
    <w:p w:rsidR="00673431" w:rsidRDefault="00673431" w:rsidP="00673431">
      <w:pPr>
        <w:pStyle w:val="20"/>
        <w:numPr>
          <w:ilvl w:val="0"/>
          <w:numId w:val="0"/>
        </w:numPr>
        <w:rPr>
          <w:rFonts w:ascii="Times New Roman" w:hAnsi="Times New Roman" w:cs="Times New Roman"/>
          <w:sz w:val="28"/>
        </w:rPr>
      </w:pPr>
      <w:r>
        <w:rPr>
          <w:rFonts w:ascii="Times New Roman" w:hAnsi="Times New Roman" w:cs="Times New Roman"/>
          <w:sz w:val="28"/>
        </w:rPr>
        <w:t xml:space="preserve">Supplementary material </w:t>
      </w:r>
      <w:r w:rsidR="00C92EA7">
        <w:rPr>
          <w:rFonts w:ascii="Times New Roman" w:hAnsi="Times New Roman" w:cs="Times New Roman"/>
          <w:sz w:val="28"/>
        </w:rPr>
        <w:t>1</w:t>
      </w:r>
      <w:r w:rsidR="000D044E">
        <w:rPr>
          <w:rFonts w:ascii="Times New Roman" w:hAnsi="Times New Roman" w:cs="Times New Roman"/>
          <w:sz w:val="28"/>
        </w:rPr>
        <w:t>5</w:t>
      </w:r>
      <w:r>
        <w:rPr>
          <w:rFonts w:ascii="Times New Roman" w:hAnsi="Times New Roman" w:cs="Times New Roman"/>
          <w:sz w:val="28"/>
        </w:rPr>
        <w:t xml:space="preserve"> Change in </w:t>
      </w:r>
      <w:r w:rsidRPr="00673431">
        <w:rPr>
          <w:rFonts w:ascii="Times New Roman" w:hAnsi="Times New Roman" w:cs="Times New Roman"/>
          <w:sz w:val="28"/>
        </w:rPr>
        <w:t>expanded disability</w:t>
      </w:r>
      <w:r>
        <w:rPr>
          <w:rFonts w:ascii="Times New Roman" w:hAnsi="Times New Roman" w:cs="Times New Roman"/>
          <w:sz w:val="28"/>
        </w:rPr>
        <w:t xml:space="preserve"> </w:t>
      </w:r>
      <w:r w:rsidRPr="00673431">
        <w:rPr>
          <w:rFonts w:ascii="Times New Roman" w:hAnsi="Times New Roman" w:cs="Times New Roman"/>
          <w:sz w:val="28"/>
        </w:rPr>
        <w:t xml:space="preserve">status scale </w:t>
      </w:r>
    </w:p>
    <w:p w:rsidR="00435B8F" w:rsidRPr="00435B8F" w:rsidRDefault="00435B8F" w:rsidP="00435B8F"/>
    <w:p w:rsidR="00435B8F" w:rsidRPr="00435B8F" w:rsidRDefault="00435B8F" w:rsidP="00435B8F">
      <w:r w:rsidRPr="00F7606D">
        <w:rPr>
          <w:rFonts w:ascii="Arial" w:hAnsi="Arial" w:cs="Arial"/>
          <w:noProof/>
          <w:color w:val="000000"/>
          <w:sz w:val="20"/>
          <w:szCs w:val="20"/>
          <w:lang w:val="en-US" w:eastAsia="zh-CN"/>
        </w:rPr>
        <w:drawing>
          <wp:inline distT="0" distB="0" distL="0" distR="0">
            <wp:extent cx="4623759" cy="2905904"/>
            <wp:effectExtent l="0" t="0" r="571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verk EDSS_report.jpg"/>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36195" cy="2913719"/>
                    </a:xfrm>
                    <a:prstGeom prst="rect">
                      <a:avLst/>
                    </a:prstGeom>
                  </pic:spPr>
                </pic:pic>
              </a:graphicData>
            </a:graphic>
          </wp:inline>
        </w:drawing>
      </w:r>
    </w:p>
    <w:p w:rsidR="00435B8F" w:rsidRDefault="00435B8F" w:rsidP="00435B8F">
      <w:pPr>
        <w:rPr>
          <w:i/>
        </w:rPr>
      </w:pPr>
      <w:r w:rsidRPr="00435B8F">
        <w:rPr>
          <w:b/>
        </w:rPr>
        <w:t>Figure 1</w:t>
      </w:r>
      <w:r w:rsidR="004E3D80">
        <w:rPr>
          <w:b/>
        </w:rPr>
        <w:t>5</w:t>
      </w:r>
      <w:r w:rsidRPr="00435B8F">
        <w:rPr>
          <w:b/>
        </w:rPr>
        <w:t>.1.</w:t>
      </w:r>
      <w:r>
        <w:rPr>
          <w:i/>
        </w:rPr>
        <w:t xml:space="preserve"> </w:t>
      </w:r>
      <w:r w:rsidRPr="00C92EA7">
        <w:rPr>
          <w:i/>
        </w:rPr>
        <w:t xml:space="preserve">Network of evidence for </w:t>
      </w:r>
      <w:r>
        <w:rPr>
          <w:i/>
        </w:rPr>
        <w:t>c</w:t>
      </w:r>
      <w:r w:rsidRPr="00435B8F">
        <w:rPr>
          <w:i/>
        </w:rPr>
        <w:t>hange in expanded disability status scale</w:t>
      </w:r>
    </w:p>
    <w:p w:rsidR="00435B8F" w:rsidRDefault="00435B8F" w:rsidP="00435B8F">
      <w:pPr>
        <w:rPr>
          <w:i/>
        </w:rPr>
      </w:pPr>
    </w:p>
    <w:p w:rsidR="00673431" w:rsidRPr="00CB4BFA" w:rsidRDefault="00435B8F" w:rsidP="00435B8F">
      <w:pPr>
        <w:rPr>
          <w:rFonts w:asciiTheme="majorHAnsi" w:hAnsiTheme="majorHAnsi" w:cs="Arial"/>
          <w:i/>
          <w:color w:val="000000"/>
          <w:u w:val="single"/>
        </w:rPr>
      </w:pPr>
      <w:r w:rsidRPr="00435B8F">
        <w:rPr>
          <w:b/>
        </w:rPr>
        <w:t>Table 1</w:t>
      </w:r>
      <w:r w:rsidR="004E3D80">
        <w:rPr>
          <w:b/>
        </w:rPr>
        <w:t>5</w:t>
      </w:r>
      <w:r w:rsidRPr="00435B8F">
        <w:rPr>
          <w:b/>
        </w:rPr>
        <w:t>.1.</w:t>
      </w:r>
      <w:r>
        <w:rPr>
          <w:i/>
        </w:rPr>
        <w:t xml:space="preserve"> Relative risk for c</w:t>
      </w:r>
      <w:r w:rsidRPr="00435B8F">
        <w:rPr>
          <w:i/>
        </w:rPr>
        <w:t>hange in expanded disability status scale</w:t>
      </w:r>
      <w:r w:rsidRPr="00BE6FA1">
        <w:rPr>
          <w:noProof/>
          <w:lang w:eastAsia="en-GB"/>
        </w:rPr>
        <w:t xml:space="preserve"> </w:t>
      </w:r>
      <w:r w:rsidR="00673431" w:rsidRPr="00BE6FA1">
        <w:rPr>
          <w:noProof/>
          <w:lang w:val="en-US" w:eastAsia="zh-CN"/>
        </w:rPr>
        <w:drawing>
          <wp:inline distT="0" distB="0" distL="0" distR="0">
            <wp:extent cx="5796767" cy="2035534"/>
            <wp:effectExtent l="0" t="0" r="0" b="0"/>
            <wp:docPr id="248" name="Bild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7932" cy="2039455"/>
                    </a:xfrm>
                    <a:prstGeom prst="rect">
                      <a:avLst/>
                    </a:prstGeom>
                    <a:noFill/>
                    <a:ln>
                      <a:noFill/>
                    </a:ln>
                  </pic:spPr>
                </pic:pic>
              </a:graphicData>
            </a:graphic>
          </wp:inline>
        </w:drawing>
      </w:r>
    </w:p>
    <w:p w:rsidR="00673431" w:rsidRPr="007731EB" w:rsidRDefault="00673431" w:rsidP="00E75A56">
      <w:pPr>
        <w:pStyle w:val="afff6"/>
        <w:spacing w:line="240" w:lineRule="auto"/>
        <w:jc w:val="both"/>
        <w:rPr>
          <w:rFonts w:asciiTheme="majorHAnsi" w:hAnsiTheme="majorHAnsi"/>
          <w:i/>
          <w:sz w:val="18"/>
          <w:szCs w:val="18"/>
          <w:lang w:val="en-GB"/>
        </w:rPr>
      </w:pPr>
      <w:r w:rsidRPr="007731EB">
        <w:rPr>
          <w:rFonts w:asciiTheme="majorHAnsi" w:hAnsiTheme="majorHAnsi"/>
          <w:i/>
          <w:color w:val="000000"/>
          <w:sz w:val="18"/>
          <w:szCs w:val="18"/>
          <w:lang w:val="en-GB" w:eastAsia="en-US"/>
        </w:rPr>
        <w:t xml:space="preserve">CI= confidence interval, mg= milligrams, </w:t>
      </w:r>
      <w:r w:rsidRPr="007731EB">
        <w:rPr>
          <w:rFonts w:asciiTheme="majorHAnsi" w:hAnsiTheme="majorHAnsi"/>
          <w:i/>
          <w:sz w:val="18"/>
          <w:szCs w:val="18"/>
          <w:lang w:val="en-GB"/>
        </w:rPr>
        <w:t>mcg= micrograms, SC= subcutaneous, IM= intra muscular, q.d.= once daily, q.w.=once weekly, t.i.w.= three times weekly, 2.i.d= two times daily, t.i.d= three times daily, 1/2 w=once every 2 weeks, 1/4 w=once every 4 weeks. SUCRA=</w:t>
      </w:r>
      <w:r w:rsidRPr="007731EB">
        <w:rPr>
          <w:i/>
          <w:sz w:val="18"/>
          <w:szCs w:val="18"/>
          <w:lang w:val="en-GB"/>
        </w:rPr>
        <w:t xml:space="preserve"> surface under the cumulative ranking curve.</w:t>
      </w:r>
    </w:p>
    <w:p w:rsidR="00F15111" w:rsidRDefault="00F15111" w:rsidP="00F15111"/>
    <w:p w:rsidR="00673431" w:rsidRDefault="00673431" w:rsidP="00673431">
      <w:pPr>
        <w:pStyle w:val="20"/>
        <w:numPr>
          <w:ilvl w:val="0"/>
          <w:numId w:val="0"/>
        </w:numPr>
        <w:rPr>
          <w:rFonts w:ascii="Times New Roman" w:hAnsi="Times New Roman" w:cs="Times New Roman"/>
          <w:sz w:val="28"/>
        </w:rPr>
      </w:pPr>
      <w:r>
        <w:rPr>
          <w:rFonts w:ascii="Times New Roman" w:hAnsi="Times New Roman" w:cs="Times New Roman"/>
          <w:sz w:val="28"/>
        </w:rPr>
        <w:t xml:space="preserve">Supplementary material </w:t>
      </w:r>
      <w:r w:rsidR="00C92EA7">
        <w:rPr>
          <w:rFonts w:ascii="Times New Roman" w:hAnsi="Times New Roman" w:cs="Times New Roman"/>
          <w:sz w:val="28"/>
        </w:rPr>
        <w:t>1</w:t>
      </w:r>
      <w:r w:rsidR="000D044E">
        <w:rPr>
          <w:rFonts w:ascii="Times New Roman" w:hAnsi="Times New Roman" w:cs="Times New Roman"/>
          <w:sz w:val="28"/>
        </w:rPr>
        <w:t>6</w:t>
      </w:r>
      <w:r>
        <w:rPr>
          <w:rFonts w:ascii="Times New Roman" w:hAnsi="Times New Roman" w:cs="Times New Roman"/>
          <w:sz w:val="28"/>
        </w:rPr>
        <w:t xml:space="preserve"> </w:t>
      </w:r>
      <w:r w:rsidR="00B95EA6">
        <w:rPr>
          <w:rFonts w:ascii="Times New Roman" w:hAnsi="Times New Roman" w:cs="Times New Roman"/>
          <w:sz w:val="28"/>
        </w:rPr>
        <w:t>Serious</w:t>
      </w:r>
      <w:r>
        <w:rPr>
          <w:rFonts w:ascii="Times New Roman" w:hAnsi="Times New Roman" w:cs="Times New Roman"/>
          <w:sz w:val="28"/>
        </w:rPr>
        <w:t xml:space="preserve"> adverse events from network meta-analysis</w:t>
      </w:r>
    </w:p>
    <w:p w:rsidR="00C92EA7" w:rsidRPr="00C92EA7" w:rsidRDefault="00B51A61" w:rsidP="00C92EA7">
      <w:r w:rsidRPr="00F7606D">
        <w:rPr>
          <w:rFonts w:ascii="Arial" w:hAnsi="Arial" w:cs="Arial"/>
          <w:noProof/>
          <w:color w:val="000000"/>
          <w:sz w:val="20"/>
          <w:szCs w:val="20"/>
          <w:lang w:val="en-US" w:eastAsia="zh-CN"/>
        </w:rPr>
        <w:drawing>
          <wp:inline distT="0" distB="0" distL="0" distR="0">
            <wp:extent cx="5055079" cy="3155126"/>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tverk SAE_report.jp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57940" cy="3156911"/>
                    </a:xfrm>
                    <a:prstGeom prst="rect">
                      <a:avLst/>
                    </a:prstGeom>
                  </pic:spPr>
                </pic:pic>
              </a:graphicData>
            </a:graphic>
          </wp:inline>
        </w:drawing>
      </w:r>
    </w:p>
    <w:p w:rsidR="00435B8F" w:rsidRDefault="00C92EA7" w:rsidP="00C92EA7">
      <w:pPr>
        <w:rPr>
          <w:i/>
        </w:rPr>
      </w:pPr>
      <w:r w:rsidRPr="00435B8F">
        <w:rPr>
          <w:b/>
        </w:rPr>
        <w:t>Figure</w:t>
      </w:r>
      <w:r w:rsidR="00435B8F" w:rsidRPr="00435B8F">
        <w:rPr>
          <w:b/>
        </w:rPr>
        <w:t xml:space="preserve"> 1</w:t>
      </w:r>
      <w:r w:rsidR="004E3D80">
        <w:rPr>
          <w:b/>
        </w:rPr>
        <w:t>6</w:t>
      </w:r>
      <w:r w:rsidR="00435B8F" w:rsidRPr="00435B8F">
        <w:rPr>
          <w:b/>
        </w:rPr>
        <w:t>.1.</w:t>
      </w:r>
      <w:r w:rsidR="00435B8F">
        <w:rPr>
          <w:i/>
        </w:rPr>
        <w:t xml:space="preserve"> </w:t>
      </w:r>
      <w:r w:rsidRPr="00C92EA7">
        <w:rPr>
          <w:i/>
        </w:rPr>
        <w:t xml:space="preserve">Network of evidence for </w:t>
      </w:r>
      <w:r w:rsidR="00435B8F">
        <w:rPr>
          <w:i/>
        </w:rPr>
        <w:t>serious adverse events</w:t>
      </w:r>
    </w:p>
    <w:p w:rsidR="00435B8F" w:rsidRDefault="00435B8F" w:rsidP="00435B8F"/>
    <w:p w:rsidR="00C92EA7" w:rsidRDefault="00435B8F" w:rsidP="00435B8F">
      <w:pPr>
        <w:rPr>
          <w:rFonts w:ascii="Times New Roman" w:hAnsi="Times New Roman" w:cs="Times New Roman"/>
          <w:sz w:val="28"/>
        </w:rPr>
      </w:pPr>
      <w:r w:rsidRPr="00435B8F">
        <w:rPr>
          <w:b/>
        </w:rPr>
        <w:t>Table 1</w:t>
      </w:r>
      <w:r w:rsidR="004E3D80">
        <w:rPr>
          <w:b/>
        </w:rPr>
        <w:t>6</w:t>
      </w:r>
      <w:r w:rsidRPr="00435B8F">
        <w:rPr>
          <w:b/>
        </w:rPr>
        <w:t>.1.</w:t>
      </w:r>
      <w:r>
        <w:rPr>
          <w:i/>
        </w:rPr>
        <w:t xml:space="preserve"> Relative risk for s</w:t>
      </w:r>
      <w:r w:rsidR="00C92EA7" w:rsidRPr="00435B8F">
        <w:rPr>
          <w:i/>
        </w:rPr>
        <w:t>erious adverse events from network meta-analysis</w:t>
      </w:r>
    </w:p>
    <w:p w:rsidR="00673431" w:rsidRPr="00EE394C" w:rsidRDefault="00673431" w:rsidP="00673431">
      <w:pPr>
        <w:pStyle w:val="afff1"/>
        <w:shd w:val="clear" w:color="auto" w:fill="FFFFFF"/>
        <w:rPr>
          <w:rFonts w:ascii="Arial" w:hAnsi="Arial" w:cs="Arial"/>
          <w:color w:val="000000"/>
          <w:sz w:val="20"/>
          <w:szCs w:val="20"/>
          <w:lang w:val="en-GB"/>
        </w:rPr>
      </w:pPr>
      <w:r w:rsidRPr="00EE394C">
        <w:rPr>
          <w:noProof/>
          <w:lang w:val="en-US" w:eastAsia="zh-CN"/>
        </w:rPr>
        <w:drawing>
          <wp:inline distT="0" distB="0" distL="0" distR="0">
            <wp:extent cx="5216525" cy="2493741"/>
            <wp:effectExtent l="0" t="0" r="3175" b="190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6525" cy="2493741"/>
                    </a:xfrm>
                    <a:prstGeom prst="rect">
                      <a:avLst/>
                    </a:prstGeom>
                    <a:noFill/>
                    <a:ln>
                      <a:noFill/>
                    </a:ln>
                  </pic:spPr>
                </pic:pic>
              </a:graphicData>
            </a:graphic>
          </wp:inline>
        </w:drawing>
      </w:r>
    </w:p>
    <w:p w:rsidR="00673431" w:rsidRPr="007731EB" w:rsidRDefault="00673431" w:rsidP="00E75A56">
      <w:pPr>
        <w:pStyle w:val="afff6"/>
        <w:spacing w:line="240" w:lineRule="auto"/>
        <w:jc w:val="both"/>
        <w:rPr>
          <w:rFonts w:asciiTheme="majorHAnsi" w:hAnsiTheme="majorHAnsi"/>
          <w:i/>
          <w:sz w:val="18"/>
          <w:szCs w:val="18"/>
          <w:lang w:val="en-GB"/>
        </w:rPr>
      </w:pPr>
      <w:r w:rsidRPr="00F7606D">
        <w:rPr>
          <w:i/>
          <w:color w:val="000000"/>
          <w:sz w:val="18"/>
          <w:szCs w:val="18"/>
          <w:lang w:val="en-GB" w:eastAsia="en-US"/>
        </w:rPr>
        <w:t xml:space="preserve">RR= relative ratio, CI= confidence interval, mg= milligrams, </w:t>
      </w:r>
      <w:r w:rsidRPr="00F7606D">
        <w:rPr>
          <w:i/>
          <w:sz w:val="18"/>
          <w:szCs w:val="18"/>
          <w:lang w:val="en-GB"/>
        </w:rPr>
        <w:t>mcg= micrograms, SC= subcutaneous, IM= intra muscular, q.d.= once daily, q.w.=once weekly, t.i.w.= three times weekly, 2.i.d= two times daily, t.i.d= three times daily, 1/2 w=once every 2 weeks, 1/4 w=once every 4 weeks.</w:t>
      </w:r>
      <w:r>
        <w:rPr>
          <w:i/>
          <w:sz w:val="18"/>
          <w:szCs w:val="18"/>
          <w:lang w:val="en-GB"/>
        </w:rPr>
        <w:t xml:space="preserve"> </w:t>
      </w:r>
      <w:r w:rsidRPr="007731EB">
        <w:rPr>
          <w:rFonts w:asciiTheme="majorHAnsi" w:hAnsiTheme="majorHAnsi"/>
          <w:i/>
          <w:sz w:val="18"/>
          <w:szCs w:val="18"/>
          <w:lang w:val="en-GB"/>
        </w:rPr>
        <w:t>SUCRA=</w:t>
      </w:r>
      <w:r w:rsidRPr="007731EB">
        <w:rPr>
          <w:i/>
          <w:sz w:val="18"/>
          <w:szCs w:val="18"/>
          <w:lang w:val="en-GB"/>
        </w:rPr>
        <w:t xml:space="preserve"> surface under the cumulative ranking curve.</w:t>
      </w:r>
    </w:p>
    <w:p w:rsidR="00F15111" w:rsidRDefault="00F15111" w:rsidP="00F15111"/>
    <w:p w:rsidR="00673431" w:rsidRPr="00673431" w:rsidRDefault="00435B8F" w:rsidP="00673431">
      <w:pPr>
        <w:pStyle w:val="20"/>
        <w:numPr>
          <w:ilvl w:val="0"/>
          <w:numId w:val="0"/>
        </w:numPr>
        <w:rPr>
          <w:rFonts w:ascii="Times New Roman" w:hAnsi="Times New Roman" w:cs="Times New Roman"/>
          <w:sz w:val="28"/>
        </w:rPr>
      </w:pPr>
      <w:r>
        <w:rPr>
          <w:noProof/>
          <w:lang w:val="en-US" w:eastAsia="zh-CN"/>
        </w:rPr>
        <w:drawing>
          <wp:anchor distT="0" distB="0" distL="114300" distR="114300" simplePos="0" relativeHeight="251659264" behindDoc="0" locked="0" layoutInCell="1" allowOverlap="1">
            <wp:simplePos x="0" y="0"/>
            <wp:positionH relativeFrom="column">
              <wp:posOffset>-3175</wp:posOffset>
            </wp:positionH>
            <wp:positionV relativeFrom="paragraph">
              <wp:posOffset>566420</wp:posOffset>
            </wp:positionV>
            <wp:extent cx="4821555" cy="3025140"/>
            <wp:effectExtent l="0" t="0" r="0" b="381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1555" cy="3025140"/>
                    </a:xfrm>
                    <a:prstGeom prst="rect">
                      <a:avLst/>
                    </a:prstGeom>
                    <a:noFill/>
                  </pic:spPr>
                </pic:pic>
              </a:graphicData>
            </a:graphic>
          </wp:anchor>
        </w:drawing>
      </w:r>
      <w:r w:rsidR="00673431">
        <w:rPr>
          <w:rFonts w:ascii="Times New Roman" w:hAnsi="Times New Roman" w:cs="Times New Roman"/>
          <w:sz w:val="28"/>
        </w:rPr>
        <w:t xml:space="preserve">Supplementary material </w:t>
      </w:r>
      <w:r w:rsidR="00C92EA7">
        <w:rPr>
          <w:rFonts w:ascii="Times New Roman" w:hAnsi="Times New Roman" w:cs="Times New Roman"/>
          <w:sz w:val="28"/>
        </w:rPr>
        <w:t>1</w:t>
      </w:r>
      <w:r w:rsidR="000D044E">
        <w:rPr>
          <w:rFonts w:ascii="Times New Roman" w:hAnsi="Times New Roman" w:cs="Times New Roman"/>
          <w:sz w:val="28"/>
        </w:rPr>
        <w:t>7</w:t>
      </w:r>
      <w:r w:rsidR="00673431">
        <w:rPr>
          <w:rFonts w:ascii="Times New Roman" w:hAnsi="Times New Roman" w:cs="Times New Roman"/>
          <w:sz w:val="28"/>
        </w:rPr>
        <w:t xml:space="preserve"> </w:t>
      </w:r>
      <w:r>
        <w:rPr>
          <w:rFonts w:ascii="Times New Roman" w:hAnsi="Times New Roman" w:cs="Times New Roman"/>
          <w:sz w:val="28"/>
        </w:rPr>
        <w:t>M</w:t>
      </w:r>
      <w:r w:rsidR="00673431">
        <w:rPr>
          <w:rFonts w:ascii="Times New Roman" w:hAnsi="Times New Roman" w:cs="Times New Roman"/>
          <w:sz w:val="28"/>
        </w:rPr>
        <w:t>ortality from network meta-analysis</w:t>
      </w:r>
    </w:p>
    <w:p w:rsidR="00435B8F" w:rsidRDefault="00435B8F" w:rsidP="00435B8F"/>
    <w:p w:rsidR="00435B8F" w:rsidRDefault="00435B8F" w:rsidP="00435B8F">
      <w:pPr>
        <w:rPr>
          <w:i/>
        </w:rPr>
      </w:pPr>
      <w:r w:rsidRPr="00435B8F">
        <w:rPr>
          <w:b/>
        </w:rPr>
        <w:t>Figure 1</w:t>
      </w:r>
      <w:r w:rsidR="004E3D80">
        <w:rPr>
          <w:b/>
        </w:rPr>
        <w:t>7</w:t>
      </w:r>
      <w:r w:rsidRPr="00435B8F">
        <w:rPr>
          <w:b/>
        </w:rPr>
        <w:t>.1.</w:t>
      </w:r>
      <w:r>
        <w:rPr>
          <w:i/>
        </w:rPr>
        <w:t xml:space="preserve"> </w:t>
      </w:r>
      <w:r w:rsidRPr="00C92EA7">
        <w:rPr>
          <w:i/>
        </w:rPr>
        <w:t>Network of evidence for withdrawal due to adverse event</w:t>
      </w:r>
    </w:p>
    <w:p w:rsidR="00435B8F" w:rsidRDefault="00435B8F" w:rsidP="00435B8F">
      <w:pPr>
        <w:rPr>
          <w:b/>
        </w:rPr>
      </w:pPr>
    </w:p>
    <w:p w:rsidR="00435B8F" w:rsidRDefault="00435B8F" w:rsidP="00435B8F">
      <w:r w:rsidRPr="00435B8F">
        <w:rPr>
          <w:b/>
        </w:rPr>
        <w:t>Table 1</w:t>
      </w:r>
      <w:r w:rsidR="004E3D80">
        <w:rPr>
          <w:b/>
        </w:rPr>
        <w:t>7</w:t>
      </w:r>
      <w:r w:rsidRPr="00435B8F">
        <w:rPr>
          <w:b/>
        </w:rPr>
        <w:t>.1.</w:t>
      </w:r>
      <w:r>
        <w:rPr>
          <w:i/>
        </w:rPr>
        <w:t xml:space="preserve"> Relative risk for mortality</w:t>
      </w:r>
      <w:r w:rsidRPr="00435B8F">
        <w:rPr>
          <w:i/>
        </w:rPr>
        <w:t xml:space="preserve"> from network meta-analysis</w:t>
      </w:r>
    </w:p>
    <w:p w:rsidR="00673431" w:rsidRPr="00F7606D" w:rsidRDefault="00673431" w:rsidP="00673431">
      <w:r w:rsidRPr="00362A7C">
        <w:rPr>
          <w:noProof/>
          <w:lang w:val="en-US" w:eastAsia="zh-CN"/>
        </w:rPr>
        <w:drawing>
          <wp:inline distT="0" distB="0" distL="0" distR="0">
            <wp:extent cx="5216525" cy="2754069"/>
            <wp:effectExtent l="0" t="0" r="3175" b="8255"/>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6525" cy="2754069"/>
                    </a:xfrm>
                    <a:prstGeom prst="rect">
                      <a:avLst/>
                    </a:prstGeom>
                    <a:noFill/>
                    <a:ln>
                      <a:noFill/>
                    </a:ln>
                  </pic:spPr>
                </pic:pic>
              </a:graphicData>
            </a:graphic>
          </wp:inline>
        </w:drawing>
      </w:r>
    </w:p>
    <w:p w:rsidR="00673431" w:rsidRPr="007731EB" w:rsidRDefault="00673431" w:rsidP="00E75A56">
      <w:pPr>
        <w:pStyle w:val="afff6"/>
        <w:spacing w:line="240" w:lineRule="auto"/>
        <w:jc w:val="both"/>
        <w:rPr>
          <w:rFonts w:asciiTheme="majorHAnsi" w:hAnsiTheme="majorHAnsi"/>
          <w:i/>
          <w:sz w:val="18"/>
          <w:szCs w:val="18"/>
          <w:lang w:val="en-GB"/>
        </w:rPr>
      </w:pPr>
      <w:r w:rsidRPr="00F7606D">
        <w:rPr>
          <w:i/>
          <w:color w:val="000000"/>
          <w:sz w:val="18"/>
          <w:szCs w:val="18"/>
          <w:lang w:val="en-GB" w:eastAsia="en-US"/>
        </w:rPr>
        <w:t xml:space="preserve">RR= relative ratio, CI= confidence interval, mg= milligrams, </w:t>
      </w:r>
      <w:r w:rsidRPr="00F7606D">
        <w:rPr>
          <w:i/>
          <w:sz w:val="18"/>
          <w:szCs w:val="18"/>
          <w:lang w:val="en-GB"/>
        </w:rPr>
        <w:t>mcg= micrograms, SC= subcutaneous, IM= intra muscular, q.d.= once daily, q.w.=once weekly, t.i.w.= three times weekly, 2.i.d= two times daily, t.i.d= three times daily, 1/2 w=once every 2 weeks, 1/4 w=once every 4 weeks.</w:t>
      </w:r>
      <w:r>
        <w:rPr>
          <w:i/>
          <w:sz w:val="18"/>
          <w:szCs w:val="18"/>
          <w:lang w:val="en-GB"/>
        </w:rPr>
        <w:t xml:space="preserve"> </w:t>
      </w:r>
      <w:r w:rsidRPr="007731EB">
        <w:rPr>
          <w:rFonts w:asciiTheme="majorHAnsi" w:hAnsiTheme="majorHAnsi"/>
          <w:i/>
          <w:sz w:val="18"/>
          <w:szCs w:val="18"/>
          <w:lang w:val="en-GB"/>
        </w:rPr>
        <w:t>SUCRA=</w:t>
      </w:r>
      <w:r w:rsidRPr="007731EB">
        <w:rPr>
          <w:i/>
          <w:sz w:val="18"/>
          <w:szCs w:val="18"/>
          <w:lang w:val="en-GB"/>
        </w:rPr>
        <w:t xml:space="preserve"> surface under the cumulative ranking curve.</w:t>
      </w:r>
    </w:p>
    <w:p w:rsidR="007B49B5" w:rsidRPr="00F15111" w:rsidRDefault="007B49B5" w:rsidP="007B49B5">
      <w:pPr>
        <w:pStyle w:val="NormalBilledplassering"/>
        <w:rPr>
          <w:lang w:val="en-GB"/>
        </w:rPr>
      </w:pPr>
    </w:p>
    <w:p w:rsidR="007B49B5" w:rsidRDefault="007B49B5" w:rsidP="007B49B5">
      <w:pPr>
        <w:pStyle w:val="20"/>
        <w:numPr>
          <w:ilvl w:val="0"/>
          <w:numId w:val="0"/>
        </w:numPr>
        <w:rPr>
          <w:rFonts w:ascii="Times New Roman" w:hAnsi="Times New Roman" w:cs="Times New Roman"/>
          <w:sz w:val="28"/>
        </w:rPr>
        <w:sectPr w:rsidR="007B49B5">
          <w:pgSz w:w="11906" w:h="16838"/>
          <w:pgMar w:top="1417" w:right="1417" w:bottom="1417" w:left="1417" w:header="708" w:footer="708" w:gutter="0"/>
          <w:cols w:space="708"/>
          <w:docGrid w:linePitch="360"/>
        </w:sectPr>
      </w:pPr>
    </w:p>
    <w:p w:rsidR="007B49B5" w:rsidRPr="007B49B5" w:rsidRDefault="007B49B5" w:rsidP="007B49B5">
      <w:pPr>
        <w:pStyle w:val="20"/>
        <w:numPr>
          <w:ilvl w:val="0"/>
          <w:numId w:val="0"/>
        </w:numPr>
        <w:rPr>
          <w:rFonts w:ascii="Times New Roman" w:hAnsi="Times New Roman" w:cs="Times New Roman"/>
          <w:sz w:val="28"/>
        </w:rPr>
      </w:pPr>
      <w:r w:rsidRPr="007B49B5">
        <w:rPr>
          <w:rFonts w:ascii="Times New Roman" w:hAnsi="Times New Roman" w:cs="Times New Roman"/>
          <w:sz w:val="28"/>
        </w:rPr>
        <w:t xml:space="preserve">Supplementary material </w:t>
      </w:r>
      <w:r w:rsidR="00B51A61">
        <w:rPr>
          <w:rFonts w:ascii="Times New Roman" w:hAnsi="Times New Roman" w:cs="Times New Roman"/>
          <w:sz w:val="28"/>
        </w:rPr>
        <w:t>1</w:t>
      </w:r>
      <w:r w:rsidR="000D044E">
        <w:rPr>
          <w:rFonts w:ascii="Times New Roman" w:hAnsi="Times New Roman" w:cs="Times New Roman"/>
          <w:sz w:val="28"/>
        </w:rPr>
        <w:t>8</w:t>
      </w:r>
      <w:r w:rsidRPr="007B49B5">
        <w:rPr>
          <w:rFonts w:ascii="Times New Roman" w:hAnsi="Times New Roman" w:cs="Times New Roman"/>
          <w:sz w:val="28"/>
        </w:rPr>
        <w:t xml:space="preserve"> </w:t>
      </w:r>
      <w:r w:rsidR="001140EE">
        <w:rPr>
          <w:rFonts w:ascii="Times New Roman" w:hAnsi="Times New Roman" w:cs="Times New Roman"/>
          <w:sz w:val="28"/>
        </w:rPr>
        <w:t>Full</w:t>
      </w:r>
      <w:r w:rsidRPr="007B49B5">
        <w:rPr>
          <w:rFonts w:ascii="Times New Roman" w:hAnsi="Times New Roman" w:cs="Times New Roman"/>
          <w:sz w:val="28"/>
        </w:rPr>
        <w:t xml:space="preserve"> network meta-analys</w:t>
      </w:r>
      <w:r w:rsidR="001140EE">
        <w:rPr>
          <w:rFonts w:ascii="Times New Roman" w:hAnsi="Times New Roman" w:cs="Times New Roman"/>
          <w:sz w:val="28"/>
        </w:rPr>
        <w:t>i</w:t>
      </w:r>
      <w:r w:rsidRPr="007B49B5">
        <w:rPr>
          <w:rFonts w:ascii="Times New Roman" w:hAnsi="Times New Roman" w:cs="Times New Roman"/>
          <w:sz w:val="28"/>
        </w:rPr>
        <w:t>s</w:t>
      </w:r>
      <w:r w:rsidR="001140EE">
        <w:rPr>
          <w:rFonts w:ascii="Times New Roman" w:hAnsi="Times New Roman" w:cs="Times New Roman"/>
          <w:sz w:val="28"/>
        </w:rPr>
        <w:t xml:space="preserve"> results</w:t>
      </w:r>
    </w:p>
    <w:p w:rsidR="007B49B5" w:rsidRDefault="007B49B5" w:rsidP="00673431"/>
    <w:p w:rsidR="007B49B5" w:rsidRDefault="007B49B5" w:rsidP="007B49B5">
      <w:pPr>
        <w:pStyle w:val="31"/>
        <w:rPr>
          <w:lang w:val="en-GB"/>
        </w:rPr>
      </w:pPr>
      <w:r w:rsidRPr="00F7606D">
        <w:rPr>
          <w:lang w:val="en-GB"/>
        </w:rPr>
        <w:t>Annualised relapse rate</w:t>
      </w:r>
    </w:p>
    <w:p w:rsidR="007B49B5" w:rsidRPr="00F7606D" w:rsidRDefault="007B49B5" w:rsidP="007B49B5">
      <w:pPr>
        <w:spacing w:line="240" w:lineRule="auto"/>
        <w:contextualSpacing/>
      </w:pPr>
    </w:p>
    <w:p w:rsidR="007B49B5" w:rsidRPr="00F7606D" w:rsidRDefault="007B49B5" w:rsidP="007B49B5">
      <w:pPr>
        <w:spacing w:line="240" w:lineRule="auto"/>
        <w:contextualSpacing/>
      </w:pPr>
      <w:r w:rsidRPr="00F7606D">
        <w:rPr>
          <w:noProof/>
          <w:lang w:val="en-US" w:eastAsia="zh-CN"/>
        </w:rPr>
        <w:drawing>
          <wp:inline distT="0" distB="0" distL="0" distR="0">
            <wp:extent cx="9227780" cy="27518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3403" cy="2759467"/>
                    </a:xfrm>
                    <a:prstGeom prst="rect">
                      <a:avLst/>
                    </a:prstGeom>
                    <a:noFill/>
                    <a:ln>
                      <a:noFill/>
                    </a:ln>
                  </pic:spPr>
                </pic:pic>
              </a:graphicData>
            </a:graphic>
          </wp:inline>
        </w:drawing>
      </w:r>
    </w:p>
    <w:p w:rsidR="007B49B5" w:rsidRPr="00F7606D" w:rsidRDefault="007B49B5" w:rsidP="007B49B5">
      <w:pPr>
        <w:spacing w:line="240" w:lineRule="auto"/>
        <w:contextualSpacing/>
      </w:pPr>
    </w:p>
    <w:p w:rsidR="007B49B5" w:rsidRPr="00F7606D" w:rsidRDefault="007B49B5" w:rsidP="007B49B5">
      <w:pPr>
        <w:spacing w:line="240" w:lineRule="auto"/>
      </w:pPr>
      <w:r w:rsidRPr="00F7606D">
        <w:br w:type="page"/>
      </w:r>
    </w:p>
    <w:p w:rsidR="007B49B5" w:rsidRPr="00F7606D" w:rsidRDefault="007B49B5" w:rsidP="007B49B5">
      <w:pPr>
        <w:pStyle w:val="31"/>
        <w:rPr>
          <w:lang w:val="en-GB"/>
        </w:rPr>
      </w:pPr>
      <w:r w:rsidRPr="00F7606D">
        <w:rPr>
          <w:lang w:val="en-GB"/>
        </w:rPr>
        <w:t>Disability progression</w:t>
      </w:r>
    </w:p>
    <w:p w:rsidR="007B49B5" w:rsidRPr="00F7606D" w:rsidRDefault="007B49B5" w:rsidP="007B49B5">
      <w:pPr>
        <w:spacing w:line="240" w:lineRule="auto"/>
        <w:contextualSpacing/>
      </w:pPr>
    </w:p>
    <w:p w:rsidR="007B49B5" w:rsidRPr="00F7606D" w:rsidRDefault="007B49B5" w:rsidP="007B49B5">
      <w:pPr>
        <w:spacing w:line="240" w:lineRule="auto"/>
        <w:contextualSpacing/>
      </w:pPr>
      <w:r w:rsidRPr="00F7606D">
        <w:rPr>
          <w:noProof/>
          <w:lang w:val="en-US" w:eastAsia="zh-CN"/>
        </w:rPr>
        <w:drawing>
          <wp:inline distT="0" distB="0" distL="0" distR="0">
            <wp:extent cx="9269617" cy="2465222"/>
            <wp:effectExtent l="0" t="0" r="8255"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14004" cy="2477027"/>
                    </a:xfrm>
                    <a:prstGeom prst="rect">
                      <a:avLst/>
                    </a:prstGeom>
                    <a:noFill/>
                    <a:ln>
                      <a:noFill/>
                    </a:ln>
                  </pic:spPr>
                </pic:pic>
              </a:graphicData>
            </a:graphic>
          </wp:inline>
        </w:drawing>
      </w:r>
    </w:p>
    <w:p w:rsidR="007B49B5" w:rsidRPr="00F7606D" w:rsidRDefault="007B49B5" w:rsidP="007B49B5">
      <w:pPr>
        <w:spacing w:line="240" w:lineRule="auto"/>
        <w:contextualSpacing/>
      </w:pPr>
    </w:p>
    <w:p w:rsidR="007B49B5" w:rsidRPr="00F7606D" w:rsidRDefault="007B49B5" w:rsidP="007B49B5">
      <w:pPr>
        <w:pStyle w:val="31"/>
        <w:rPr>
          <w:lang w:val="en-GB"/>
        </w:rPr>
      </w:pPr>
      <w:r w:rsidRPr="00F7606D">
        <w:rPr>
          <w:lang w:val="en-GB"/>
        </w:rPr>
        <w:t>Withdrawal due to adverse events</w:t>
      </w:r>
    </w:p>
    <w:p w:rsidR="007B49B5" w:rsidRPr="00F7606D" w:rsidRDefault="007B49B5" w:rsidP="007B49B5">
      <w:pPr>
        <w:spacing w:line="240" w:lineRule="auto"/>
        <w:contextualSpacing/>
      </w:pPr>
      <w:r w:rsidRPr="00F7606D">
        <w:rPr>
          <w:noProof/>
          <w:lang w:val="en-US" w:eastAsia="zh-CN"/>
        </w:rPr>
        <w:drawing>
          <wp:inline distT="0" distB="0" distL="0" distR="0">
            <wp:extent cx="9201377" cy="2820838"/>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08583" cy="2823047"/>
                    </a:xfrm>
                    <a:prstGeom prst="rect">
                      <a:avLst/>
                    </a:prstGeom>
                    <a:noFill/>
                    <a:ln>
                      <a:noFill/>
                    </a:ln>
                  </pic:spPr>
                </pic:pic>
              </a:graphicData>
            </a:graphic>
          </wp:inline>
        </w:drawing>
      </w:r>
    </w:p>
    <w:p w:rsidR="007B49B5" w:rsidRPr="00F7606D" w:rsidRDefault="007B49B5" w:rsidP="007B49B5">
      <w:pPr>
        <w:spacing w:line="240" w:lineRule="auto"/>
        <w:contextualSpacing/>
      </w:pPr>
    </w:p>
    <w:p w:rsidR="007B49B5" w:rsidRPr="00F7606D" w:rsidRDefault="007B49B5" w:rsidP="007B49B5">
      <w:pPr>
        <w:spacing w:line="240" w:lineRule="auto"/>
      </w:pPr>
      <w:r w:rsidRPr="00F7606D">
        <w:br w:type="page"/>
      </w:r>
    </w:p>
    <w:p w:rsidR="007B49B5" w:rsidRPr="00F7606D" w:rsidRDefault="007B49B5" w:rsidP="007B49B5">
      <w:pPr>
        <w:pStyle w:val="31"/>
        <w:rPr>
          <w:lang w:val="en-GB"/>
        </w:rPr>
      </w:pPr>
      <w:r w:rsidRPr="00F7606D">
        <w:rPr>
          <w:lang w:val="en-GB"/>
        </w:rPr>
        <w:t>Change in Expanded Disability Status Scale</w:t>
      </w:r>
    </w:p>
    <w:p w:rsidR="007B49B5" w:rsidRPr="00F7606D" w:rsidRDefault="007B49B5" w:rsidP="007B49B5">
      <w:pPr>
        <w:spacing w:line="240" w:lineRule="auto"/>
        <w:contextualSpacing/>
      </w:pPr>
    </w:p>
    <w:p w:rsidR="007B49B5" w:rsidRPr="00F7606D" w:rsidRDefault="007B49B5" w:rsidP="007B49B5">
      <w:pPr>
        <w:spacing w:line="240" w:lineRule="auto"/>
        <w:contextualSpacing/>
      </w:pPr>
      <w:r w:rsidRPr="00F7606D">
        <w:rPr>
          <w:noProof/>
          <w:lang w:val="en-US" w:eastAsia="zh-CN"/>
        </w:rPr>
        <w:drawing>
          <wp:inline distT="0" distB="0" distL="0" distR="0">
            <wp:extent cx="9522768" cy="2769079"/>
            <wp:effectExtent l="0" t="0" r="254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3968" cy="2775244"/>
                    </a:xfrm>
                    <a:prstGeom prst="rect">
                      <a:avLst/>
                    </a:prstGeom>
                    <a:noFill/>
                    <a:ln>
                      <a:noFill/>
                    </a:ln>
                  </pic:spPr>
                </pic:pic>
              </a:graphicData>
            </a:graphic>
          </wp:inline>
        </w:drawing>
      </w:r>
    </w:p>
    <w:p w:rsidR="007B49B5" w:rsidRPr="00F7606D" w:rsidRDefault="007B49B5" w:rsidP="007B49B5">
      <w:pPr>
        <w:spacing w:line="240" w:lineRule="auto"/>
        <w:contextualSpacing/>
      </w:pPr>
    </w:p>
    <w:p w:rsidR="007B49B5" w:rsidRPr="00F7606D" w:rsidRDefault="007B49B5" w:rsidP="007B49B5">
      <w:pPr>
        <w:spacing w:line="240" w:lineRule="auto"/>
        <w:contextualSpacing/>
      </w:pPr>
    </w:p>
    <w:p w:rsidR="007B49B5" w:rsidRPr="00F7606D" w:rsidRDefault="007B49B5" w:rsidP="007B49B5">
      <w:pPr>
        <w:spacing w:line="240" w:lineRule="auto"/>
      </w:pPr>
      <w:r w:rsidRPr="00F7606D">
        <w:br w:type="page"/>
      </w:r>
    </w:p>
    <w:p w:rsidR="007B49B5" w:rsidRPr="00F7606D" w:rsidRDefault="007B49B5" w:rsidP="007B49B5">
      <w:pPr>
        <w:pStyle w:val="31"/>
        <w:rPr>
          <w:lang w:val="en-GB"/>
        </w:rPr>
      </w:pPr>
      <w:r w:rsidRPr="00F7606D">
        <w:rPr>
          <w:lang w:val="en-GB"/>
        </w:rPr>
        <w:t>Serious adverse events</w:t>
      </w:r>
    </w:p>
    <w:p w:rsidR="007B49B5" w:rsidRPr="00F7606D" w:rsidRDefault="007B49B5" w:rsidP="007B49B5">
      <w:pPr>
        <w:spacing w:line="240" w:lineRule="auto"/>
        <w:contextualSpacing/>
      </w:pPr>
    </w:p>
    <w:p w:rsidR="007B49B5" w:rsidRPr="00F7606D" w:rsidRDefault="007B49B5" w:rsidP="007B49B5">
      <w:pPr>
        <w:spacing w:line="240" w:lineRule="auto"/>
        <w:contextualSpacing/>
      </w:pPr>
      <w:r w:rsidRPr="00F7606D">
        <w:rPr>
          <w:noProof/>
          <w:lang w:val="en-US" w:eastAsia="zh-CN"/>
        </w:rPr>
        <w:drawing>
          <wp:inline distT="0" distB="0" distL="0" distR="0">
            <wp:extent cx="9471804" cy="3209027"/>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83246" cy="3212904"/>
                    </a:xfrm>
                    <a:prstGeom prst="rect">
                      <a:avLst/>
                    </a:prstGeom>
                    <a:noFill/>
                    <a:ln>
                      <a:noFill/>
                    </a:ln>
                  </pic:spPr>
                </pic:pic>
              </a:graphicData>
            </a:graphic>
          </wp:inline>
        </w:drawing>
      </w:r>
    </w:p>
    <w:p w:rsidR="007B49B5" w:rsidRPr="00F7606D" w:rsidRDefault="007B49B5" w:rsidP="007B49B5">
      <w:pPr>
        <w:spacing w:line="240" w:lineRule="auto"/>
        <w:contextualSpacing/>
      </w:pPr>
    </w:p>
    <w:p w:rsidR="007B49B5" w:rsidRPr="00F7606D" w:rsidRDefault="007B49B5" w:rsidP="007B49B5">
      <w:pPr>
        <w:spacing w:line="240" w:lineRule="auto"/>
      </w:pPr>
      <w:r w:rsidRPr="00F7606D">
        <w:br w:type="page"/>
      </w:r>
    </w:p>
    <w:p w:rsidR="007B49B5" w:rsidRPr="00F7606D" w:rsidRDefault="007B49B5" w:rsidP="007B49B5">
      <w:pPr>
        <w:pStyle w:val="31"/>
        <w:rPr>
          <w:lang w:val="en-GB"/>
        </w:rPr>
      </w:pPr>
      <w:r w:rsidRPr="00F7606D">
        <w:rPr>
          <w:lang w:val="en-GB"/>
        </w:rPr>
        <w:t>Mortality</w:t>
      </w:r>
    </w:p>
    <w:p w:rsidR="007B49B5" w:rsidRPr="00F7606D" w:rsidRDefault="007B49B5" w:rsidP="007B49B5">
      <w:pPr>
        <w:spacing w:line="240" w:lineRule="auto"/>
        <w:contextualSpacing/>
      </w:pPr>
    </w:p>
    <w:p w:rsidR="007B49B5" w:rsidRPr="00F7606D" w:rsidRDefault="007B49B5" w:rsidP="007B49B5">
      <w:pPr>
        <w:spacing w:line="240" w:lineRule="auto"/>
        <w:contextualSpacing/>
      </w:pPr>
      <w:r w:rsidRPr="00F7606D">
        <w:rPr>
          <w:noProof/>
          <w:lang w:val="en-US" w:eastAsia="zh-CN"/>
        </w:rPr>
        <w:drawing>
          <wp:inline distT="0" distB="0" distL="0" distR="0">
            <wp:extent cx="9612494" cy="2803585"/>
            <wp:effectExtent l="0" t="0" r="8255"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7648" cy="2810921"/>
                    </a:xfrm>
                    <a:prstGeom prst="rect">
                      <a:avLst/>
                    </a:prstGeom>
                    <a:noFill/>
                    <a:ln>
                      <a:noFill/>
                    </a:ln>
                  </pic:spPr>
                </pic:pic>
              </a:graphicData>
            </a:graphic>
          </wp:inline>
        </w:drawing>
      </w:r>
    </w:p>
    <w:p w:rsidR="007B49B5" w:rsidRPr="00F7606D" w:rsidRDefault="007B49B5" w:rsidP="007B49B5">
      <w:pPr>
        <w:pStyle w:val="20"/>
      </w:pPr>
      <w:r w:rsidRPr="00F7606D">
        <w:br w:type="page"/>
      </w:r>
    </w:p>
    <w:p w:rsidR="007B49B5" w:rsidRDefault="007B49B5" w:rsidP="00302407">
      <w:pPr>
        <w:pStyle w:val="20"/>
        <w:numPr>
          <w:ilvl w:val="0"/>
          <w:numId w:val="0"/>
        </w:numPr>
        <w:rPr>
          <w:rFonts w:ascii="Times New Roman" w:hAnsi="Times New Roman" w:cs="Times New Roman"/>
          <w:sz w:val="28"/>
        </w:rPr>
        <w:sectPr w:rsidR="007B49B5" w:rsidSect="007B49B5">
          <w:pgSz w:w="16838" w:h="11906" w:orient="landscape"/>
          <w:pgMar w:top="1418" w:right="1418" w:bottom="1418" w:left="1418" w:header="709" w:footer="709" w:gutter="0"/>
          <w:cols w:space="708"/>
          <w:docGrid w:linePitch="360"/>
        </w:sectPr>
      </w:pPr>
    </w:p>
    <w:p w:rsidR="00302407" w:rsidRPr="00302407" w:rsidRDefault="00302407" w:rsidP="00302407">
      <w:pPr>
        <w:pStyle w:val="20"/>
        <w:numPr>
          <w:ilvl w:val="0"/>
          <w:numId w:val="0"/>
        </w:numPr>
        <w:rPr>
          <w:rFonts w:ascii="Times New Roman" w:hAnsi="Times New Roman" w:cs="Times New Roman"/>
          <w:sz w:val="28"/>
        </w:rPr>
      </w:pPr>
      <w:r w:rsidRPr="00302407">
        <w:rPr>
          <w:rFonts w:ascii="Times New Roman" w:hAnsi="Times New Roman" w:cs="Times New Roman"/>
          <w:sz w:val="28"/>
        </w:rPr>
        <w:t xml:space="preserve">Supplementary material </w:t>
      </w:r>
      <w:r w:rsidR="00B51A61">
        <w:rPr>
          <w:rFonts w:ascii="Times New Roman" w:hAnsi="Times New Roman" w:cs="Times New Roman"/>
          <w:sz w:val="28"/>
        </w:rPr>
        <w:t>1</w:t>
      </w:r>
      <w:r w:rsidR="000D044E">
        <w:rPr>
          <w:rFonts w:ascii="Times New Roman" w:hAnsi="Times New Roman" w:cs="Times New Roman"/>
          <w:sz w:val="28"/>
        </w:rPr>
        <w:t>9</w:t>
      </w:r>
      <w:r w:rsidRPr="00302407">
        <w:rPr>
          <w:rFonts w:ascii="Times New Roman" w:hAnsi="Times New Roman" w:cs="Times New Roman"/>
          <w:sz w:val="28"/>
        </w:rPr>
        <w:t xml:space="preserve"> Grade evaluation of comparisons</w:t>
      </w:r>
    </w:p>
    <w:p w:rsidR="00302407" w:rsidRPr="00F7606D" w:rsidRDefault="00302407" w:rsidP="00302407">
      <w:pPr>
        <w:pStyle w:val="31"/>
        <w:rPr>
          <w:lang w:val="en-GB"/>
        </w:rPr>
      </w:pPr>
      <w:r w:rsidRPr="00F7606D">
        <w:rPr>
          <w:lang w:val="en-GB"/>
        </w:rPr>
        <w:t xml:space="preserve">Interferon beta-1a 22 mcg compared to Placebo for RRMS </w:t>
      </w:r>
    </w:p>
    <w:p w:rsidR="00302407" w:rsidRPr="00F7606D" w:rsidRDefault="00302407" w:rsidP="00302407">
      <w:pPr>
        <w:spacing w:line="140" w:lineRule="atLeast"/>
        <w:rPr>
          <w:rFonts w:ascii="Arial Narrow" w:hAnsi="Arial Narrow"/>
          <w:color w:val="000000"/>
          <w:sz w:val="14"/>
          <w:szCs w:val="14"/>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494"/>
        <w:gridCol w:w="862"/>
        <w:gridCol w:w="779"/>
        <w:gridCol w:w="749"/>
        <w:gridCol w:w="909"/>
        <w:gridCol w:w="648"/>
        <w:gridCol w:w="559"/>
        <w:gridCol w:w="559"/>
        <w:gridCol w:w="758"/>
        <w:gridCol w:w="948"/>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beta-1a 22 mcg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-/189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-/187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0.69</w:t>
            </w:r>
            <w:r w:rsidRPr="00F7606D">
              <w:rPr>
                <w:rFonts w:ascii="Arial Narrow" w:hAnsi="Arial Narrow"/>
                <w:color w:val="000000"/>
                <w:sz w:val="13"/>
                <w:szCs w:val="13"/>
              </w:rPr>
              <w:br/>
            </w:r>
            <w:r w:rsidRPr="00F7606D">
              <w:rPr>
                <w:rStyle w:val="cell"/>
                <w:rFonts w:ascii="Arial Narrow" w:hAnsi="Arial Narrow"/>
                <w:color w:val="000000"/>
                <w:sz w:val="13"/>
                <w:szCs w:val="13"/>
              </w:rPr>
              <w:t>(0.57 to 0.83)</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64/189 (33.9%)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77/187 (41.2%)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0.84</w:t>
            </w:r>
            <w:r w:rsidRPr="00F7606D">
              <w:rPr>
                <w:rFonts w:ascii="Arial Narrow" w:hAnsi="Arial Narrow"/>
                <w:color w:val="000000"/>
                <w:sz w:val="13"/>
                <w:szCs w:val="13"/>
              </w:rPr>
              <w:br/>
            </w:r>
            <w:r w:rsidRPr="00F7606D">
              <w:rPr>
                <w:rStyle w:val="cell"/>
                <w:rFonts w:ascii="Arial Narrow" w:hAnsi="Arial Narrow"/>
                <w:color w:val="000000"/>
                <w:sz w:val="13"/>
                <w:szCs w:val="13"/>
              </w:rPr>
              <w:t>(0.61 to 1.19)</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66 fewer per 1000 (from 78 more to 161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6/189 (3.2%)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2/187 (1.1%)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1.68</w:t>
            </w:r>
            <w:r w:rsidRPr="00F7606D">
              <w:rPr>
                <w:rFonts w:ascii="Arial Narrow" w:hAnsi="Arial Narrow"/>
                <w:color w:val="000000"/>
                <w:sz w:val="13"/>
                <w:szCs w:val="13"/>
              </w:rPr>
              <w:br/>
            </w:r>
            <w:r w:rsidRPr="00F7606D">
              <w:rPr>
                <w:rStyle w:val="cell"/>
                <w:rFonts w:ascii="Arial Narrow" w:hAnsi="Arial Narrow"/>
                <w:color w:val="000000"/>
                <w:sz w:val="13"/>
                <w:szCs w:val="13"/>
              </w:rPr>
              <w:t>(0.50 to 5.98)</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 more per 1000 (from 5 fewer to 53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18"/>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18"/>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 xml:space="preserve">Patients were treatment naïve. </w:t>
      </w:r>
    </w:p>
    <w:p w:rsidR="00302407" w:rsidRPr="00F7606D" w:rsidRDefault="00302407" w:rsidP="004E2A63">
      <w:pPr>
        <w:numPr>
          <w:ilvl w:val="0"/>
          <w:numId w:val="18"/>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For continuous outcomes, a sample size of approximately 400 may not be sufficient to insure prognostic balance (ref GRADE 6 paper).</w:t>
      </w:r>
    </w:p>
    <w:p w:rsidR="00302407" w:rsidRPr="00F7606D" w:rsidRDefault="00302407" w:rsidP="004E2A63">
      <w:pPr>
        <w:numPr>
          <w:ilvl w:val="0"/>
          <w:numId w:val="18"/>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4E2A63">
      <w:pPr>
        <w:numPr>
          <w:ilvl w:val="0"/>
          <w:numId w:val="18"/>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302407">
      <w:pPr>
        <w:pStyle w:val="31"/>
        <w:rPr>
          <w:lang w:val="en-GB"/>
        </w:rPr>
      </w:pPr>
      <w:r w:rsidRPr="00F7606D">
        <w:rPr>
          <w:lang w:val="en-GB"/>
        </w:rPr>
        <w:t xml:space="preserve">Interferon beta-1a 30 mcg compared to Placebo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494"/>
        <w:gridCol w:w="862"/>
        <w:gridCol w:w="779"/>
        <w:gridCol w:w="749"/>
        <w:gridCol w:w="909"/>
        <w:gridCol w:w="648"/>
        <w:gridCol w:w="559"/>
        <w:gridCol w:w="559"/>
        <w:gridCol w:w="770"/>
        <w:gridCol w:w="936"/>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beta-1a 30 mcg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-/659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-/647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0.76</w:t>
            </w:r>
            <w:r w:rsidRPr="00F7606D">
              <w:rPr>
                <w:rFonts w:ascii="Arial Narrow" w:hAnsi="Arial Narrow"/>
                <w:color w:val="000000"/>
                <w:sz w:val="13"/>
                <w:szCs w:val="13"/>
              </w:rPr>
              <w:br/>
            </w:r>
            <w:r w:rsidRPr="00F7606D">
              <w:rPr>
                <w:rStyle w:val="cell"/>
                <w:rFonts w:ascii="Arial Narrow" w:hAnsi="Arial Narrow"/>
                <w:color w:val="000000"/>
                <w:sz w:val="13"/>
                <w:szCs w:val="13"/>
              </w:rPr>
              <w:t>(0.65 to 0.89)</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Fonts w:ascii="Arial Narrow" w:hAnsi="Arial Narrow"/>
                <w:color w:val="000000"/>
                <w:sz w:val="13"/>
                <w:szCs w:val="13"/>
              </w:rPr>
              <w:br/>
              <w:t xml:space="preserve">HIGH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70/605 (11.6%)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96/593 (16.2%)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0.68</w:t>
            </w:r>
            <w:r w:rsidRPr="00F7606D">
              <w:rPr>
                <w:rFonts w:ascii="Arial Narrow" w:hAnsi="Arial Narrow"/>
                <w:color w:val="000000"/>
                <w:sz w:val="13"/>
                <w:szCs w:val="13"/>
              </w:rPr>
              <w:br/>
            </w:r>
            <w:r w:rsidRPr="00F7606D">
              <w:rPr>
                <w:rStyle w:val="cell"/>
                <w:rFonts w:ascii="Arial Narrow" w:hAnsi="Arial Narrow"/>
                <w:color w:val="000000"/>
                <w:sz w:val="13"/>
                <w:szCs w:val="13"/>
              </w:rPr>
              <w:t>(0.50 to 0.95)</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52 fewer per 1000 (from 8 fewer to 81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34/659 (5.2%)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21/647 (3.2%)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1.73</w:t>
            </w:r>
            <w:r w:rsidRPr="00F7606D">
              <w:rPr>
                <w:rFonts w:ascii="Arial Narrow" w:hAnsi="Arial Narrow"/>
                <w:color w:val="000000"/>
                <w:sz w:val="13"/>
                <w:szCs w:val="13"/>
              </w:rPr>
              <w:br/>
            </w:r>
            <w:r w:rsidRPr="00F7606D">
              <w:rPr>
                <w:rStyle w:val="cell"/>
                <w:rFonts w:ascii="Arial Narrow" w:hAnsi="Arial Narrow"/>
                <w:color w:val="000000"/>
                <w:sz w:val="13"/>
                <w:szCs w:val="13"/>
              </w:rPr>
              <w:t>(0.82 to 3.87)</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24 more per 1000 (from 6 fewer to 93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19"/>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 xml:space="preserve">In the minor contributing study patients were treatment naïve. </w:t>
      </w:r>
    </w:p>
    <w:p w:rsidR="00302407" w:rsidRPr="00F7606D" w:rsidRDefault="00302407" w:rsidP="004E2A63">
      <w:pPr>
        <w:numPr>
          <w:ilvl w:val="0"/>
          <w:numId w:val="19"/>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19"/>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302407">
      <w:r w:rsidRPr="00F7606D">
        <w:br w:type="page"/>
      </w:r>
    </w:p>
    <w:p w:rsidR="00302407" w:rsidRPr="00F7606D" w:rsidRDefault="00302407" w:rsidP="00302407">
      <w:pPr>
        <w:pStyle w:val="31"/>
        <w:rPr>
          <w:lang w:val="en-GB"/>
        </w:rPr>
      </w:pPr>
      <w:r w:rsidRPr="00F7606D">
        <w:rPr>
          <w:lang w:val="en-GB"/>
        </w:rPr>
        <w:t xml:space="preserve">Interferon beta-1a 44 mcg compared to Placebo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494"/>
        <w:gridCol w:w="862"/>
        <w:gridCol w:w="779"/>
        <w:gridCol w:w="749"/>
        <w:gridCol w:w="909"/>
        <w:gridCol w:w="648"/>
        <w:gridCol w:w="559"/>
        <w:gridCol w:w="559"/>
        <w:gridCol w:w="770"/>
        <w:gridCol w:w="936"/>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beta-1a 44 mcg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-/204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-/247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0.67</w:t>
            </w:r>
            <w:r w:rsidRPr="00F7606D">
              <w:rPr>
                <w:rFonts w:ascii="Arial Narrow" w:hAnsi="Arial Narrow"/>
                <w:color w:val="000000"/>
                <w:sz w:val="13"/>
                <w:szCs w:val="13"/>
              </w:rPr>
              <w:br/>
            </w:r>
            <w:r w:rsidRPr="00F7606D">
              <w:rPr>
                <w:rStyle w:val="cell"/>
                <w:rFonts w:ascii="Arial Narrow" w:hAnsi="Arial Narrow"/>
                <w:color w:val="000000"/>
                <w:sz w:val="13"/>
                <w:szCs w:val="13"/>
              </w:rPr>
              <w:t>(0.54 to 0.80)</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Fonts w:ascii="Arial Narrow" w:hAnsi="Arial Narrow"/>
                <w:color w:val="000000"/>
                <w:sz w:val="13"/>
                <w:szCs w:val="13"/>
              </w:rPr>
              <w:br/>
              <w:t xml:space="preserve">HIGH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54/184 (29.3%)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77/187 (41.2%)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0.70</w:t>
            </w:r>
            <w:r w:rsidRPr="00F7606D">
              <w:rPr>
                <w:rFonts w:ascii="Arial Narrow" w:hAnsi="Arial Narrow"/>
                <w:color w:val="000000"/>
                <w:sz w:val="13"/>
                <w:szCs w:val="13"/>
              </w:rPr>
              <w:br/>
            </w:r>
            <w:r w:rsidRPr="00F7606D">
              <w:rPr>
                <w:rStyle w:val="cell"/>
                <w:rFonts w:ascii="Arial Narrow" w:hAnsi="Arial Narrow"/>
                <w:color w:val="000000"/>
                <w:sz w:val="13"/>
                <w:szCs w:val="13"/>
              </w:rPr>
              <w:t>(0.48 to 1.04)</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124 fewer per 1000 (from 16 more to 214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9/184 (4.9%)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2/187 (1.1%)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5.32</w:t>
            </w:r>
            <w:r w:rsidRPr="00F7606D">
              <w:rPr>
                <w:rFonts w:ascii="Arial Narrow" w:hAnsi="Arial Narrow"/>
                <w:color w:val="000000"/>
                <w:sz w:val="13"/>
                <w:szCs w:val="13"/>
              </w:rPr>
              <w:br/>
            </w:r>
            <w:r w:rsidRPr="00F7606D">
              <w:rPr>
                <w:rStyle w:val="cell"/>
                <w:rFonts w:ascii="Arial Narrow" w:hAnsi="Arial Narrow"/>
                <w:color w:val="000000"/>
                <w:sz w:val="13"/>
                <w:szCs w:val="13"/>
              </w:rPr>
              <w:t>(1.09 to 41.63)</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46 more per 1000 (from 1 more to 435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20"/>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 xml:space="preserve">In the major contributing study patients were treatment naïve. </w:t>
      </w:r>
    </w:p>
    <w:p w:rsidR="00302407" w:rsidRPr="00F7606D" w:rsidRDefault="00302407" w:rsidP="004E2A63">
      <w:pPr>
        <w:numPr>
          <w:ilvl w:val="0"/>
          <w:numId w:val="20"/>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20"/>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 xml:space="preserve">Patients were treatment naïve. </w:t>
      </w:r>
    </w:p>
    <w:p w:rsidR="00302407" w:rsidRPr="00F7606D" w:rsidRDefault="00302407" w:rsidP="004E2A63">
      <w:pPr>
        <w:numPr>
          <w:ilvl w:val="0"/>
          <w:numId w:val="20"/>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20"/>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4E2A63">
      <w:pPr>
        <w:numPr>
          <w:ilvl w:val="0"/>
          <w:numId w:val="20"/>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effect estimate and the confidence interval are not robust. Minor variations in number of events would change the results.</w:t>
      </w:r>
    </w:p>
    <w:p w:rsidR="00302407" w:rsidRPr="00F7606D" w:rsidRDefault="00302407" w:rsidP="00302407">
      <w:pPr>
        <w:pStyle w:val="31"/>
        <w:rPr>
          <w:lang w:val="en-GB"/>
        </w:rPr>
      </w:pPr>
      <w:r w:rsidRPr="00F7606D">
        <w:rPr>
          <w:lang w:val="en-GB"/>
        </w:rPr>
        <w:t xml:space="preserve">Glatiramer acetate 20 mg compared to Placebo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494"/>
        <w:gridCol w:w="862"/>
        <w:gridCol w:w="779"/>
        <w:gridCol w:w="749"/>
        <w:gridCol w:w="909"/>
        <w:gridCol w:w="684"/>
        <w:gridCol w:w="559"/>
        <w:gridCol w:w="559"/>
        <w:gridCol w:w="734"/>
        <w:gridCol w:w="936"/>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Glatiramer acetate 20 mg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-/595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-/609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0.70</w:t>
            </w:r>
            <w:r w:rsidRPr="00F7606D">
              <w:rPr>
                <w:rFonts w:ascii="Arial Narrow" w:hAnsi="Arial Narrow"/>
                <w:color w:val="000000"/>
                <w:sz w:val="13"/>
                <w:szCs w:val="13"/>
              </w:rPr>
              <w:br/>
            </w:r>
            <w:r w:rsidRPr="00F7606D">
              <w:rPr>
                <w:rStyle w:val="cell"/>
                <w:rFonts w:ascii="Arial Narrow" w:hAnsi="Arial Narrow"/>
                <w:color w:val="000000"/>
                <w:sz w:val="13"/>
                <w:szCs w:val="13"/>
              </w:rPr>
              <w:t>(0.60 to 0.82)</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Fonts w:ascii="Arial Narrow" w:hAnsi="Arial Narrow"/>
                <w:color w:val="000000"/>
                <w:sz w:val="13"/>
                <w:szCs w:val="13"/>
              </w:rPr>
              <w:br/>
              <w:t xml:space="preserve">HIGH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83/475 (17.5%)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93/489 (19.0%)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0.88</w:t>
            </w:r>
            <w:r w:rsidRPr="00F7606D">
              <w:rPr>
                <w:rFonts w:ascii="Arial Narrow" w:hAnsi="Arial Narrow"/>
                <w:color w:val="000000"/>
                <w:sz w:val="13"/>
                <w:szCs w:val="13"/>
              </w:rPr>
              <w:br/>
            </w:r>
            <w:r w:rsidRPr="00F7606D">
              <w:rPr>
                <w:rStyle w:val="cell"/>
                <w:rFonts w:ascii="Arial Narrow" w:hAnsi="Arial Narrow"/>
                <w:color w:val="000000"/>
                <w:sz w:val="13"/>
                <w:szCs w:val="13"/>
              </w:rPr>
              <w:t>(0.61 to 1.21)</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23 fewer per 1000 (from 40 more to 74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43/595 (7.2%)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41/609 (6.7%)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1.22</w:t>
            </w:r>
            <w:r w:rsidRPr="00F7606D">
              <w:rPr>
                <w:rFonts w:ascii="Arial Narrow" w:hAnsi="Arial Narrow"/>
                <w:color w:val="000000"/>
                <w:sz w:val="13"/>
                <w:szCs w:val="13"/>
              </w:rPr>
              <w:br/>
            </w:r>
            <w:r w:rsidRPr="00F7606D">
              <w:rPr>
                <w:rStyle w:val="cell"/>
                <w:rFonts w:ascii="Arial Narrow" w:hAnsi="Arial Narrow"/>
                <w:color w:val="000000"/>
                <w:sz w:val="13"/>
                <w:szCs w:val="13"/>
              </w:rPr>
              <w:t>(0.64 to 2.66)</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15 more per 1000 (from 24 fewer to 112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21"/>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 xml:space="preserve">In the minor contributing studies, patients were treatment naïve or had an unclear treatment history. </w:t>
      </w:r>
    </w:p>
    <w:p w:rsidR="00302407" w:rsidRPr="00F7606D" w:rsidRDefault="00302407" w:rsidP="004E2A63">
      <w:pPr>
        <w:numPr>
          <w:ilvl w:val="0"/>
          <w:numId w:val="21"/>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 xml:space="preserve">In the minor contributing study patients were treatment naïve. </w:t>
      </w:r>
    </w:p>
    <w:p w:rsidR="00302407" w:rsidRPr="00F7606D" w:rsidRDefault="00302407" w:rsidP="004E2A63">
      <w:pPr>
        <w:numPr>
          <w:ilvl w:val="0"/>
          <w:numId w:val="21"/>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21"/>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302407">
      <w:pPr>
        <w:pStyle w:val="31"/>
        <w:rPr>
          <w:lang w:val="en-GB"/>
        </w:rPr>
      </w:pPr>
      <w:r w:rsidRPr="00F7606D">
        <w:rPr>
          <w:lang w:val="en-GB"/>
        </w:rPr>
        <w:t xml:space="preserve">Glatiramer acetate 40 mg compared to Placebo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494"/>
        <w:gridCol w:w="862"/>
        <w:gridCol w:w="779"/>
        <w:gridCol w:w="749"/>
        <w:gridCol w:w="909"/>
        <w:gridCol w:w="684"/>
        <w:gridCol w:w="559"/>
        <w:gridCol w:w="559"/>
        <w:gridCol w:w="734"/>
        <w:gridCol w:w="936"/>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Glatiramer acetate 40 mg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-/943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-/461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0.66</w:t>
            </w:r>
            <w:r w:rsidRPr="00F7606D">
              <w:rPr>
                <w:rFonts w:ascii="Arial Narrow" w:hAnsi="Arial Narrow"/>
                <w:color w:val="000000"/>
                <w:sz w:val="13"/>
                <w:szCs w:val="13"/>
              </w:rPr>
              <w:br/>
            </w:r>
            <w:r w:rsidRPr="00F7606D">
              <w:rPr>
                <w:rStyle w:val="cell"/>
                <w:rFonts w:ascii="Arial Narrow" w:hAnsi="Arial Narrow"/>
                <w:color w:val="000000"/>
                <w:sz w:val="13"/>
                <w:szCs w:val="13"/>
              </w:rPr>
              <w:t>(0.52 to 0.82)</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Fonts w:ascii="Arial Narrow" w:hAnsi="Arial Narrow"/>
                <w:color w:val="000000"/>
                <w:sz w:val="13"/>
                <w:szCs w:val="13"/>
              </w:rPr>
              <w:br/>
              <w:t xml:space="preserve">HIGH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29/943 (3.1%)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6/461 (1.3%)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2.50</w:t>
            </w:r>
            <w:r w:rsidRPr="00F7606D">
              <w:rPr>
                <w:rFonts w:ascii="Arial Narrow" w:hAnsi="Arial Narrow"/>
                <w:color w:val="000000"/>
                <w:sz w:val="13"/>
                <w:szCs w:val="13"/>
              </w:rPr>
              <w:br/>
            </w:r>
            <w:r w:rsidRPr="00F7606D">
              <w:rPr>
                <w:rStyle w:val="cell"/>
                <w:rFonts w:ascii="Arial Narrow" w:hAnsi="Arial Narrow"/>
                <w:color w:val="000000"/>
                <w:sz w:val="13"/>
                <w:szCs w:val="13"/>
              </w:rPr>
              <w:t>(0.86 to 8.29)</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20 more per 1000 (from 2 fewer to 95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22"/>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22"/>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22"/>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302407">
      <w:pPr>
        <w:pStyle w:val="31"/>
        <w:rPr>
          <w:lang w:val="en-GB"/>
        </w:rPr>
      </w:pPr>
      <w:r w:rsidRPr="00F7606D">
        <w:rPr>
          <w:lang w:val="en-GB"/>
        </w:rPr>
        <w:t xml:space="preserve">Dimethyl fumarate 240 mg two times daily compared to Placebo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494"/>
        <w:gridCol w:w="862"/>
        <w:gridCol w:w="779"/>
        <w:gridCol w:w="749"/>
        <w:gridCol w:w="909"/>
        <w:gridCol w:w="601"/>
        <w:gridCol w:w="559"/>
        <w:gridCol w:w="559"/>
        <w:gridCol w:w="817"/>
        <w:gridCol w:w="936"/>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Dimethyl fumarate 240 mg two times daily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-/769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-/771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0.50</w:t>
            </w:r>
            <w:r w:rsidRPr="00F7606D">
              <w:rPr>
                <w:rFonts w:ascii="Arial Narrow" w:hAnsi="Arial Narrow"/>
                <w:color w:val="000000"/>
                <w:sz w:val="13"/>
                <w:szCs w:val="13"/>
              </w:rPr>
              <w:br/>
            </w:r>
            <w:r w:rsidRPr="00F7606D">
              <w:rPr>
                <w:rStyle w:val="cell"/>
                <w:rFonts w:ascii="Arial Narrow" w:hAnsi="Arial Narrow"/>
                <w:color w:val="000000"/>
                <w:sz w:val="13"/>
                <w:szCs w:val="13"/>
              </w:rPr>
              <w:t>(0.42 to 0.60)</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Fonts w:ascii="Arial Narrow" w:hAnsi="Arial Narrow"/>
                <w:color w:val="000000"/>
                <w:sz w:val="13"/>
                <w:szCs w:val="13"/>
              </w:rPr>
              <w:br/>
              <w:t xml:space="preserve">HIGH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113/768 (14.7%)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172/771 (22.3%)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0.65</w:t>
            </w:r>
            <w:r w:rsidRPr="00F7606D">
              <w:rPr>
                <w:rFonts w:ascii="Arial Narrow" w:hAnsi="Arial Narrow"/>
                <w:color w:val="000000"/>
                <w:sz w:val="13"/>
                <w:szCs w:val="13"/>
              </w:rPr>
              <w:br/>
            </w:r>
            <w:r w:rsidRPr="00F7606D">
              <w:rPr>
                <w:rStyle w:val="cell"/>
                <w:rFonts w:ascii="Arial Narrow" w:hAnsi="Arial Narrow"/>
                <w:color w:val="000000"/>
                <w:sz w:val="13"/>
                <w:szCs w:val="13"/>
              </w:rPr>
              <w:t>(0.49 to 0.85)</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78 fewer per 1000 (from 33 fewer to 114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Fonts w:ascii="Arial Narrow" w:hAnsi="Arial Narrow"/>
                <w:color w:val="000000"/>
                <w:sz w:val="13"/>
                <w:szCs w:val="13"/>
              </w:rPr>
              <w:br/>
              <w:t xml:space="preserve">HIGH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109/769 (14.2%)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90/771 (11.7%)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1.24</w:t>
            </w:r>
            <w:r w:rsidRPr="00F7606D">
              <w:rPr>
                <w:rFonts w:ascii="Arial Narrow" w:hAnsi="Arial Narrow"/>
                <w:color w:val="000000"/>
                <w:sz w:val="13"/>
                <w:szCs w:val="13"/>
              </w:rPr>
              <w:br/>
            </w:r>
            <w:r w:rsidRPr="00F7606D">
              <w:rPr>
                <w:rStyle w:val="cell"/>
                <w:rFonts w:ascii="Arial Narrow" w:hAnsi="Arial Narrow"/>
                <w:color w:val="000000"/>
                <w:sz w:val="13"/>
                <w:szCs w:val="13"/>
              </w:rPr>
              <w:t>(0.74 to 2.13)</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28 more per 1000 (from 30 fewer to 132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23"/>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23"/>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302407">
      <w:pPr>
        <w:pStyle w:val="31"/>
        <w:rPr>
          <w:lang w:val="en-GB"/>
        </w:rPr>
      </w:pPr>
      <w:r w:rsidRPr="00F7606D">
        <w:rPr>
          <w:lang w:val="en-GB"/>
        </w:rPr>
        <w:t xml:space="preserve">Dimethyl fumarate 240 mg three times daily compared to Placebo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494"/>
        <w:gridCol w:w="862"/>
        <w:gridCol w:w="779"/>
        <w:gridCol w:w="749"/>
        <w:gridCol w:w="909"/>
        <w:gridCol w:w="601"/>
        <w:gridCol w:w="559"/>
        <w:gridCol w:w="559"/>
        <w:gridCol w:w="817"/>
        <w:gridCol w:w="936"/>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Dimethyl fumarate 240 mg three times daily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-/761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-/771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0.50</w:t>
            </w:r>
            <w:r w:rsidRPr="00F7606D">
              <w:rPr>
                <w:rFonts w:ascii="Arial Narrow" w:hAnsi="Arial Narrow"/>
                <w:color w:val="000000"/>
                <w:sz w:val="13"/>
                <w:szCs w:val="13"/>
              </w:rPr>
              <w:br/>
            </w:r>
            <w:r w:rsidRPr="00F7606D">
              <w:rPr>
                <w:rStyle w:val="cell"/>
                <w:rFonts w:ascii="Arial Narrow" w:hAnsi="Arial Narrow"/>
                <w:color w:val="000000"/>
                <w:sz w:val="13"/>
                <w:szCs w:val="13"/>
              </w:rPr>
              <w:t>(0.42 to 0.60)</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Fonts w:ascii="Arial Narrow" w:hAnsi="Arial Narrow"/>
                <w:color w:val="000000"/>
                <w:sz w:val="13"/>
                <w:szCs w:val="13"/>
              </w:rPr>
              <w:br/>
              <w:t xml:space="preserve">HIGH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120/761 (15.8%)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172/771 (22.3%)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0.68</w:t>
            </w:r>
            <w:r w:rsidRPr="00F7606D">
              <w:rPr>
                <w:rFonts w:ascii="Arial Narrow" w:hAnsi="Arial Narrow"/>
                <w:color w:val="000000"/>
                <w:sz w:val="13"/>
                <w:szCs w:val="13"/>
              </w:rPr>
              <w:br/>
            </w:r>
            <w:r w:rsidRPr="00F7606D">
              <w:rPr>
                <w:rStyle w:val="cell"/>
                <w:rFonts w:ascii="Arial Narrow" w:hAnsi="Arial Narrow"/>
                <w:color w:val="000000"/>
                <w:sz w:val="13"/>
                <w:szCs w:val="13"/>
              </w:rPr>
              <w:t>(0.52 to 0.89)</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71 fewer per 1000 (from 25 fewer to 107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Fonts w:ascii="Arial Narrow" w:hAnsi="Arial Narrow"/>
                <w:color w:val="000000"/>
                <w:sz w:val="13"/>
                <w:szCs w:val="13"/>
              </w:rPr>
              <w:br/>
              <w:t xml:space="preserve">HIGH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109/760 (14.3%)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93/771 (12.1%)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1.25</w:t>
            </w:r>
            <w:r w:rsidRPr="00F7606D">
              <w:rPr>
                <w:rFonts w:ascii="Arial Narrow" w:hAnsi="Arial Narrow"/>
                <w:color w:val="000000"/>
                <w:sz w:val="13"/>
                <w:szCs w:val="13"/>
              </w:rPr>
              <w:br/>
            </w:r>
            <w:r w:rsidRPr="00F7606D">
              <w:rPr>
                <w:rStyle w:val="cell"/>
                <w:rFonts w:ascii="Arial Narrow" w:hAnsi="Arial Narrow"/>
                <w:color w:val="000000"/>
                <w:sz w:val="13"/>
                <w:szCs w:val="13"/>
              </w:rPr>
              <w:t>(0.74 to 2.13)</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30 more per 1000 (from 31 fewer to 136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24"/>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24"/>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302407">
      <w:pPr>
        <w:pStyle w:val="31"/>
        <w:rPr>
          <w:lang w:val="en-GB"/>
        </w:rPr>
      </w:pPr>
      <w:r w:rsidRPr="00F7606D">
        <w:rPr>
          <w:lang w:val="en-GB"/>
        </w:rPr>
        <w:t xml:space="preserve">Teriflunomide oral 7 mg compared to Placebo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1"/>
        <w:gridCol w:w="705"/>
        <w:gridCol w:w="492"/>
        <w:gridCol w:w="858"/>
        <w:gridCol w:w="775"/>
        <w:gridCol w:w="745"/>
        <w:gridCol w:w="904"/>
        <w:gridCol w:w="851"/>
        <w:gridCol w:w="557"/>
        <w:gridCol w:w="557"/>
        <w:gridCol w:w="604"/>
        <w:gridCol w:w="931"/>
        <w:gridCol w:w="722"/>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Teriflunomide oral 7 mg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-/802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-/806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0.73</w:t>
            </w:r>
            <w:r w:rsidRPr="00F7606D">
              <w:rPr>
                <w:rFonts w:ascii="Arial Narrow" w:hAnsi="Arial Narrow"/>
                <w:color w:val="000000"/>
                <w:sz w:val="13"/>
                <w:szCs w:val="13"/>
              </w:rPr>
              <w:br/>
            </w:r>
            <w:r w:rsidRPr="00F7606D">
              <w:rPr>
                <w:rStyle w:val="cell"/>
                <w:rFonts w:ascii="Arial Narrow" w:hAnsi="Arial Narrow"/>
                <w:color w:val="000000"/>
                <w:sz w:val="13"/>
                <w:szCs w:val="13"/>
              </w:rPr>
              <w:t>(0.64 to 0.84)</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Fonts w:ascii="Arial Narrow" w:hAnsi="Arial Narrow"/>
                <w:color w:val="000000"/>
                <w:sz w:val="13"/>
                <w:szCs w:val="13"/>
              </w:rPr>
              <w:br/>
              <w:t xml:space="preserve">HIGH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79/365 (21.6%)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99/363 (27.3%)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0.80</w:t>
            </w:r>
            <w:r w:rsidRPr="00F7606D">
              <w:rPr>
                <w:rFonts w:ascii="Arial Narrow" w:hAnsi="Arial Narrow"/>
                <w:color w:val="000000"/>
                <w:sz w:val="13"/>
                <w:szCs w:val="13"/>
              </w:rPr>
              <w:br/>
            </w:r>
            <w:r w:rsidRPr="00F7606D">
              <w:rPr>
                <w:rStyle w:val="cell"/>
                <w:rFonts w:ascii="Arial Narrow" w:hAnsi="Arial Narrow"/>
                <w:color w:val="000000"/>
                <w:sz w:val="13"/>
                <w:szCs w:val="13"/>
              </w:rPr>
              <w:t>(0.55 to 1.13)</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55 fewer per 1000 (from 35 more to 123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97/802 (12.1%)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57/806 (7.1%)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1.54</w:t>
            </w:r>
            <w:r w:rsidRPr="00F7606D">
              <w:rPr>
                <w:rFonts w:ascii="Arial Narrow" w:hAnsi="Arial Narrow"/>
                <w:color w:val="000000"/>
                <w:sz w:val="13"/>
                <w:szCs w:val="13"/>
              </w:rPr>
              <w:br/>
            </w:r>
            <w:r w:rsidRPr="00F7606D">
              <w:rPr>
                <w:rStyle w:val="cell"/>
                <w:rFonts w:ascii="Arial Narrow" w:hAnsi="Arial Narrow"/>
                <w:color w:val="000000"/>
                <w:sz w:val="13"/>
                <w:szCs w:val="13"/>
              </w:rPr>
              <w:t>(0.89 to 2.51)</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38 more per 1000 (from 8 fewer to 107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25"/>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 xml:space="preserve">In the minor contributing study patients were treatment naïve. </w:t>
      </w:r>
    </w:p>
    <w:p w:rsidR="00302407" w:rsidRPr="00F7606D" w:rsidRDefault="00302407" w:rsidP="004E2A63">
      <w:pPr>
        <w:numPr>
          <w:ilvl w:val="0"/>
          <w:numId w:val="25"/>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25"/>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25"/>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302407">
      <w:pPr>
        <w:pStyle w:val="31"/>
        <w:rPr>
          <w:lang w:val="en-GB"/>
        </w:rPr>
      </w:pPr>
      <w:r w:rsidRPr="00F7606D">
        <w:rPr>
          <w:lang w:val="en-GB"/>
        </w:rPr>
        <w:t xml:space="preserve">Teriflunomide oral 14mg compared to Placebo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1"/>
        <w:gridCol w:w="705"/>
        <w:gridCol w:w="492"/>
        <w:gridCol w:w="858"/>
        <w:gridCol w:w="775"/>
        <w:gridCol w:w="745"/>
        <w:gridCol w:w="904"/>
        <w:gridCol w:w="851"/>
        <w:gridCol w:w="557"/>
        <w:gridCol w:w="557"/>
        <w:gridCol w:w="604"/>
        <w:gridCol w:w="931"/>
        <w:gridCol w:w="722"/>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Teriflunomide oral 14mg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-/824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-/806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0.67</w:t>
            </w:r>
            <w:r w:rsidRPr="00F7606D">
              <w:rPr>
                <w:rFonts w:ascii="Arial Narrow" w:hAnsi="Arial Narrow"/>
                <w:color w:val="000000"/>
                <w:sz w:val="13"/>
                <w:szCs w:val="13"/>
              </w:rPr>
              <w:br/>
            </w:r>
            <w:r w:rsidRPr="00F7606D">
              <w:rPr>
                <w:rStyle w:val="cell"/>
                <w:rFonts w:ascii="Arial Narrow" w:hAnsi="Arial Narrow"/>
                <w:color w:val="000000"/>
                <w:sz w:val="13"/>
                <w:szCs w:val="13"/>
              </w:rPr>
              <w:t>(0.58 to 0.78)</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Fonts w:ascii="Arial Narrow" w:hAnsi="Arial Narrow"/>
                <w:color w:val="000000"/>
                <w:sz w:val="13"/>
                <w:szCs w:val="13"/>
              </w:rPr>
              <w:br/>
              <w:t xml:space="preserve">HIGH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72/358 (20.1%)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99/363 (27.3%)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0.73</w:t>
            </w:r>
            <w:r w:rsidRPr="00F7606D">
              <w:rPr>
                <w:rFonts w:ascii="Arial Narrow" w:hAnsi="Arial Narrow"/>
                <w:color w:val="000000"/>
                <w:sz w:val="13"/>
                <w:szCs w:val="13"/>
              </w:rPr>
              <w:br/>
            </w:r>
            <w:r w:rsidRPr="00F7606D">
              <w:rPr>
                <w:rStyle w:val="cell"/>
                <w:rFonts w:ascii="Arial Narrow" w:hAnsi="Arial Narrow"/>
                <w:color w:val="000000"/>
                <w:sz w:val="13"/>
                <w:szCs w:val="13"/>
              </w:rPr>
              <w:t>(0.51 to 1.05)</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74 fewer per 1000 (from 14 more to 134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100/824 (12.1%)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57/806 (7.1%)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1.70</w:t>
            </w:r>
            <w:r w:rsidRPr="00F7606D">
              <w:rPr>
                <w:rFonts w:ascii="Arial Narrow" w:hAnsi="Arial Narrow"/>
                <w:color w:val="000000"/>
                <w:sz w:val="13"/>
                <w:szCs w:val="13"/>
              </w:rPr>
              <w:br/>
            </w:r>
            <w:r w:rsidRPr="00F7606D">
              <w:rPr>
                <w:rStyle w:val="cell"/>
                <w:rFonts w:ascii="Arial Narrow" w:hAnsi="Arial Narrow"/>
                <w:color w:val="000000"/>
                <w:sz w:val="13"/>
                <w:szCs w:val="13"/>
              </w:rPr>
              <w:t>(1.02 to 3.01)</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50 more per 1000 (from 1 more to 142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26"/>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 xml:space="preserve">In the minor contributing study patients were treatment naïve. </w:t>
      </w:r>
    </w:p>
    <w:p w:rsidR="00302407" w:rsidRPr="00F7606D" w:rsidRDefault="00302407" w:rsidP="004E2A63">
      <w:pPr>
        <w:numPr>
          <w:ilvl w:val="0"/>
          <w:numId w:val="26"/>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26"/>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26"/>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4E2A63">
      <w:pPr>
        <w:numPr>
          <w:ilvl w:val="0"/>
          <w:numId w:val="26"/>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effect estimate and the confidence interval are not robust. Minor variations in number of events would change the results.</w:t>
      </w:r>
    </w:p>
    <w:p w:rsidR="00302407" w:rsidRPr="00F7606D" w:rsidRDefault="00302407" w:rsidP="00302407">
      <w:pPr>
        <w:pStyle w:val="31"/>
        <w:rPr>
          <w:lang w:val="en-GB"/>
        </w:rPr>
      </w:pPr>
      <w:r w:rsidRPr="00F7606D">
        <w:rPr>
          <w:lang w:val="en-GB"/>
        </w:rPr>
        <w:t xml:space="preserve">Fingolimod oral 0.5 mg compared to Placebo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494"/>
        <w:gridCol w:w="862"/>
        <w:gridCol w:w="779"/>
        <w:gridCol w:w="749"/>
        <w:gridCol w:w="909"/>
        <w:gridCol w:w="725"/>
        <w:gridCol w:w="559"/>
        <w:gridCol w:w="559"/>
        <w:gridCol w:w="693"/>
        <w:gridCol w:w="936"/>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Fingolimod oral 0.5 mg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-/840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-/830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0.49</w:t>
            </w:r>
            <w:r w:rsidRPr="00F7606D">
              <w:rPr>
                <w:rFonts w:ascii="Arial Narrow" w:hAnsi="Arial Narrow"/>
                <w:color w:val="000000"/>
                <w:sz w:val="13"/>
                <w:szCs w:val="13"/>
              </w:rPr>
              <w:br/>
            </w:r>
            <w:r w:rsidRPr="00F7606D">
              <w:rPr>
                <w:rStyle w:val="cell"/>
                <w:rFonts w:ascii="Arial Narrow" w:hAnsi="Arial Narrow"/>
                <w:color w:val="000000"/>
                <w:sz w:val="13"/>
                <w:szCs w:val="13"/>
              </w:rPr>
              <w:t>(0.41 to 0.57)</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Fonts w:ascii="Arial Narrow" w:hAnsi="Arial Narrow"/>
                <w:color w:val="000000"/>
                <w:sz w:val="13"/>
                <w:szCs w:val="13"/>
              </w:rPr>
              <w:br/>
              <w:t xml:space="preserve">HIGH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124/783 (15.8%)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164/773 (21.2%)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0.75</w:t>
            </w:r>
            <w:r w:rsidRPr="00F7606D">
              <w:rPr>
                <w:rFonts w:ascii="Arial Narrow" w:hAnsi="Arial Narrow"/>
                <w:color w:val="000000"/>
                <w:sz w:val="13"/>
                <w:szCs w:val="13"/>
              </w:rPr>
              <w:br/>
            </w:r>
            <w:r w:rsidRPr="00F7606D">
              <w:rPr>
                <w:rStyle w:val="cell"/>
                <w:rFonts w:ascii="Arial Narrow" w:hAnsi="Arial Narrow"/>
                <w:color w:val="000000"/>
                <w:sz w:val="13"/>
                <w:szCs w:val="13"/>
              </w:rPr>
              <w:t>(0.56 to 0.98)</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53 fewer per 1000 (from 4 fewer to 93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Fonts w:ascii="Arial Narrow" w:hAnsi="Arial Narrow"/>
                <w:color w:val="000000"/>
                <w:sz w:val="13"/>
                <w:szCs w:val="13"/>
              </w:rPr>
              <w:br/>
              <w:t xml:space="preserve">HIGH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104/840 (12.4%)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72/830 (8.7%)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1.49</w:t>
            </w:r>
            <w:r w:rsidRPr="00F7606D">
              <w:rPr>
                <w:rFonts w:ascii="Arial Narrow" w:hAnsi="Arial Narrow"/>
                <w:color w:val="000000"/>
                <w:sz w:val="13"/>
                <w:szCs w:val="13"/>
              </w:rPr>
              <w:br/>
            </w:r>
            <w:r w:rsidRPr="00F7606D">
              <w:rPr>
                <w:rStyle w:val="cell"/>
                <w:rFonts w:ascii="Arial Narrow" w:hAnsi="Arial Narrow"/>
                <w:color w:val="000000"/>
                <w:sz w:val="13"/>
                <w:szCs w:val="13"/>
              </w:rPr>
              <w:t>(0.86 to 2.50)</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43 more per 1000 (from 12 fewer to 130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27"/>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27"/>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302407">
      <w:pPr>
        <w:pStyle w:val="31"/>
        <w:rPr>
          <w:lang w:val="en-GB"/>
        </w:rPr>
      </w:pPr>
      <w:r w:rsidRPr="00F7606D">
        <w:rPr>
          <w:lang w:val="en-GB"/>
        </w:rPr>
        <w:t xml:space="preserve">Fingolimod oral 1.25 mg compared to Placebo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494"/>
        <w:gridCol w:w="862"/>
        <w:gridCol w:w="779"/>
        <w:gridCol w:w="749"/>
        <w:gridCol w:w="909"/>
        <w:gridCol w:w="725"/>
        <w:gridCol w:w="559"/>
        <w:gridCol w:w="559"/>
        <w:gridCol w:w="707"/>
        <w:gridCol w:w="922"/>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Fingolimod oral 1.25 mg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-/853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-/830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0.43</w:t>
            </w:r>
            <w:r w:rsidRPr="00F7606D">
              <w:rPr>
                <w:rFonts w:ascii="Arial Narrow" w:hAnsi="Arial Narrow"/>
                <w:color w:val="000000"/>
                <w:sz w:val="13"/>
                <w:szCs w:val="13"/>
              </w:rPr>
              <w:br/>
            </w:r>
            <w:r w:rsidRPr="00F7606D">
              <w:rPr>
                <w:rStyle w:val="cell"/>
                <w:rFonts w:ascii="Arial Narrow" w:hAnsi="Arial Narrow"/>
                <w:color w:val="000000"/>
                <w:sz w:val="13"/>
                <w:szCs w:val="13"/>
              </w:rPr>
              <w:t>(0.37 to 0.51)</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Fonts w:ascii="Arial Narrow" w:hAnsi="Arial Narrow"/>
                <w:color w:val="000000"/>
                <w:sz w:val="13"/>
                <w:szCs w:val="13"/>
              </w:rPr>
              <w:br/>
              <w:t xml:space="preserve">HIGH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119/799 (14.9%)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164/773 (21.2%)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0.70</w:t>
            </w:r>
            <w:r w:rsidRPr="00F7606D">
              <w:rPr>
                <w:rFonts w:ascii="Arial Narrow" w:hAnsi="Arial Narrow"/>
                <w:color w:val="000000"/>
                <w:sz w:val="13"/>
                <w:szCs w:val="13"/>
              </w:rPr>
              <w:br/>
            </w:r>
            <w:r w:rsidRPr="00F7606D">
              <w:rPr>
                <w:rStyle w:val="cell"/>
                <w:rFonts w:ascii="Arial Narrow" w:hAnsi="Arial Narrow"/>
                <w:color w:val="000000"/>
                <w:sz w:val="13"/>
                <w:szCs w:val="13"/>
              </w:rPr>
              <w:t>(0.52 to 0.92)</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64 fewer per 1000 (from 17 fewer to 102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Fonts w:ascii="Arial Narrow" w:hAnsi="Arial Narrow"/>
                <w:color w:val="000000"/>
                <w:sz w:val="13"/>
                <w:szCs w:val="13"/>
              </w:rPr>
              <w:br/>
              <w:t xml:space="preserve">HIGH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139/853 (16.3%)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72/830 (8.7%)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1.93</w:t>
            </w:r>
            <w:r w:rsidRPr="00F7606D">
              <w:rPr>
                <w:rFonts w:ascii="Arial Narrow" w:hAnsi="Arial Narrow"/>
                <w:color w:val="000000"/>
                <w:sz w:val="13"/>
                <w:szCs w:val="13"/>
              </w:rPr>
              <w:br/>
            </w:r>
            <w:r w:rsidRPr="00F7606D">
              <w:rPr>
                <w:rStyle w:val="cell"/>
                <w:rFonts w:ascii="Arial Narrow" w:hAnsi="Arial Narrow"/>
                <w:color w:val="000000"/>
                <w:sz w:val="13"/>
                <w:szCs w:val="13"/>
              </w:rPr>
              <w:t>(1.18 to 3.14)</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81 more per 1000 (from 16 more to 186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28"/>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302407">
      <w:pPr>
        <w:pStyle w:val="31"/>
        <w:rPr>
          <w:lang w:val="en-GB"/>
        </w:rPr>
      </w:pPr>
      <w:r w:rsidRPr="00F7606D">
        <w:rPr>
          <w:lang w:val="en-GB"/>
        </w:rPr>
        <w:t xml:space="preserve">Peg-interferon beta-1a 125 mcg once every two weeks compared to Placebo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494"/>
        <w:gridCol w:w="862"/>
        <w:gridCol w:w="779"/>
        <w:gridCol w:w="749"/>
        <w:gridCol w:w="909"/>
        <w:gridCol w:w="648"/>
        <w:gridCol w:w="559"/>
        <w:gridCol w:w="559"/>
        <w:gridCol w:w="770"/>
        <w:gridCol w:w="936"/>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Peg-interferon beta-1a 125 mcg once every two weeks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-/512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-/500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0.65</w:t>
            </w:r>
            <w:r w:rsidRPr="00F7606D">
              <w:rPr>
                <w:rFonts w:ascii="Arial Narrow" w:hAnsi="Arial Narrow"/>
                <w:color w:val="000000"/>
                <w:sz w:val="13"/>
                <w:szCs w:val="13"/>
              </w:rPr>
              <w:br/>
            </w:r>
            <w:r w:rsidRPr="00F7606D">
              <w:rPr>
                <w:rStyle w:val="cell"/>
                <w:rFonts w:ascii="Arial Narrow" w:hAnsi="Arial Narrow"/>
                <w:color w:val="000000"/>
                <w:sz w:val="13"/>
                <w:szCs w:val="13"/>
              </w:rPr>
              <w:t>(0.49 to 0.85)</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Fonts w:ascii="Arial Narrow" w:hAnsi="Arial Narrow"/>
                <w:color w:val="000000"/>
                <w:sz w:val="13"/>
                <w:szCs w:val="13"/>
              </w:rPr>
              <w:br/>
              <w:t xml:space="preserve">HIGH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31/512 (6.1%)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50/500 (10.0%)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0.61</w:t>
            </w:r>
            <w:r w:rsidRPr="00F7606D">
              <w:rPr>
                <w:rFonts w:ascii="Arial Narrow" w:hAnsi="Arial Narrow"/>
                <w:color w:val="000000"/>
                <w:sz w:val="13"/>
                <w:szCs w:val="13"/>
              </w:rPr>
              <w:br/>
            </w:r>
            <w:r w:rsidRPr="00F7606D">
              <w:rPr>
                <w:rStyle w:val="cell"/>
                <w:rFonts w:ascii="Arial Narrow" w:hAnsi="Arial Narrow"/>
                <w:color w:val="000000"/>
                <w:sz w:val="13"/>
                <w:szCs w:val="13"/>
              </w:rPr>
              <w:t>(0.36 to 0.98)</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39 fewer per 1000 (from 2 fewer to 64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25/512 (4.9%)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7/500 (1.4%)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3.57</w:t>
            </w:r>
            <w:r w:rsidRPr="00F7606D">
              <w:rPr>
                <w:rFonts w:ascii="Arial Narrow" w:hAnsi="Arial Narrow"/>
                <w:color w:val="000000"/>
                <w:sz w:val="13"/>
                <w:szCs w:val="13"/>
              </w:rPr>
              <w:br/>
            </w:r>
            <w:r w:rsidRPr="00F7606D">
              <w:rPr>
                <w:rStyle w:val="cell"/>
                <w:rFonts w:ascii="Arial Narrow" w:hAnsi="Arial Narrow"/>
                <w:color w:val="000000"/>
                <w:sz w:val="13"/>
                <w:szCs w:val="13"/>
              </w:rPr>
              <w:t>(1.27 to 11.14)</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36 more per 1000 (from 4 more to 142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29"/>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29"/>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29"/>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effect estimate and the confidence interval are not robust. Minor variations in number of events would change the results.</w:t>
      </w:r>
    </w:p>
    <w:p w:rsidR="00302407" w:rsidRPr="00F7606D" w:rsidRDefault="00302407" w:rsidP="004E2A63">
      <w:pPr>
        <w:numPr>
          <w:ilvl w:val="0"/>
          <w:numId w:val="29"/>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effect estimate and the confidence interval are not robust. Minor variations in number of events would change the results.</w:t>
      </w:r>
    </w:p>
    <w:p w:rsidR="00302407" w:rsidRPr="00F7606D" w:rsidRDefault="00302407" w:rsidP="00302407">
      <w:pPr>
        <w:pStyle w:val="31"/>
        <w:rPr>
          <w:lang w:val="en-GB"/>
        </w:rPr>
      </w:pPr>
      <w:r w:rsidRPr="00F7606D">
        <w:rPr>
          <w:lang w:val="en-GB"/>
        </w:rPr>
        <w:t xml:space="preserve">Peg-interferon beta-1a 125 mcg once every four weeks compared to Placebo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494"/>
        <w:gridCol w:w="862"/>
        <w:gridCol w:w="779"/>
        <w:gridCol w:w="749"/>
        <w:gridCol w:w="909"/>
        <w:gridCol w:w="648"/>
        <w:gridCol w:w="559"/>
        <w:gridCol w:w="559"/>
        <w:gridCol w:w="770"/>
        <w:gridCol w:w="936"/>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Peg-interferon beta-1a 125 mcg once every four weeks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-/500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-/500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0.73</w:t>
            </w:r>
            <w:r w:rsidRPr="00F7606D">
              <w:rPr>
                <w:rFonts w:ascii="Arial Narrow" w:hAnsi="Arial Narrow"/>
                <w:color w:val="000000"/>
                <w:sz w:val="13"/>
                <w:szCs w:val="13"/>
              </w:rPr>
              <w:br/>
            </w:r>
            <w:r w:rsidRPr="00F7606D">
              <w:rPr>
                <w:rStyle w:val="cell"/>
                <w:rFonts w:ascii="Arial Narrow" w:hAnsi="Arial Narrow"/>
                <w:color w:val="000000"/>
                <w:sz w:val="13"/>
                <w:szCs w:val="13"/>
              </w:rPr>
              <w:t>(0.56 to 0.95)</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Fonts w:ascii="Arial Narrow" w:hAnsi="Arial Narrow"/>
                <w:color w:val="000000"/>
                <w:sz w:val="13"/>
                <w:szCs w:val="13"/>
              </w:rPr>
              <w:br/>
              <w:t xml:space="preserve">HIGH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31/500 (6.2%)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50/500 (10.0%)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0.62</w:t>
            </w:r>
            <w:r w:rsidRPr="00F7606D">
              <w:rPr>
                <w:rFonts w:ascii="Arial Narrow" w:hAnsi="Arial Narrow"/>
                <w:color w:val="000000"/>
                <w:sz w:val="13"/>
                <w:szCs w:val="13"/>
              </w:rPr>
              <w:br/>
            </w:r>
            <w:r w:rsidRPr="00F7606D">
              <w:rPr>
                <w:rStyle w:val="cell"/>
                <w:rFonts w:ascii="Arial Narrow" w:hAnsi="Arial Narrow"/>
                <w:color w:val="000000"/>
                <w:sz w:val="13"/>
                <w:szCs w:val="13"/>
              </w:rPr>
              <w:t>(0.38 to 1.01)</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38 fewer per 1000 (from 1 more to 62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24/500 (4.8%)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7/500 (1.4%)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3.47</w:t>
            </w:r>
            <w:r w:rsidRPr="00F7606D">
              <w:rPr>
                <w:rFonts w:ascii="Arial Narrow" w:hAnsi="Arial Narrow"/>
                <w:color w:val="000000"/>
                <w:sz w:val="13"/>
                <w:szCs w:val="13"/>
              </w:rPr>
              <w:br/>
            </w:r>
            <w:r w:rsidRPr="00F7606D">
              <w:rPr>
                <w:rStyle w:val="cell"/>
                <w:rFonts w:ascii="Arial Narrow" w:hAnsi="Arial Narrow"/>
                <w:color w:val="000000"/>
                <w:sz w:val="13"/>
                <w:szCs w:val="13"/>
              </w:rPr>
              <w:t>(1.25 to 10.90)</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35 more per 1000 (from 4 more to 139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30"/>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30"/>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30"/>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4E2A63">
      <w:pPr>
        <w:numPr>
          <w:ilvl w:val="0"/>
          <w:numId w:val="30"/>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effect estimate and the confidence interval are not robust. Minor variations in number of events would change the results</w:t>
      </w:r>
    </w:p>
    <w:p w:rsidR="00302407" w:rsidRPr="00F7606D" w:rsidRDefault="00302407" w:rsidP="00302407">
      <w:pPr>
        <w:pStyle w:val="31"/>
        <w:rPr>
          <w:lang w:val="en-GB"/>
        </w:rPr>
      </w:pPr>
      <w:r w:rsidRPr="00F7606D">
        <w:rPr>
          <w:lang w:val="en-GB"/>
        </w:rPr>
        <w:t xml:space="preserve">Natalizumab 300 mg intravenous every four weeks compared to Placebo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494"/>
        <w:gridCol w:w="862"/>
        <w:gridCol w:w="779"/>
        <w:gridCol w:w="749"/>
        <w:gridCol w:w="909"/>
        <w:gridCol w:w="778"/>
        <w:gridCol w:w="559"/>
        <w:gridCol w:w="559"/>
        <w:gridCol w:w="628"/>
        <w:gridCol w:w="948"/>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Natalizumab 300 mg intravenous every four weeks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-/673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-/358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0.30</w:t>
            </w:r>
            <w:r w:rsidRPr="00F7606D">
              <w:rPr>
                <w:rFonts w:ascii="Arial Narrow" w:hAnsi="Arial Narrow"/>
                <w:color w:val="000000"/>
                <w:sz w:val="13"/>
                <w:szCs w:val="13"/>
              </w:rPr>
              <w:br/>
            </w:r>
            <w:r w:rsidRPr="00F7606D">
              <w:rPr>
                <w:rStyle w:val="cell"/>
                <w:rFonts w:ascii="Arial Narrow" w:hAnsi="Arial Narrow"/>
                <w:color w:val="000000"/>
                <w:sz w:val="13"/>
                <w:szCs w:val="13"/>
              </w:rPr>
              <w:t>(0.25 to 0.36)</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107/627 (17.1%)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91/315 (28.9%)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0.59</w:t>
            </w:r>
            <w:r w:rsidRPr="00F7606D">
              <w:rPr>
                <w:rFonts w:ascii="Arial Narrow" w:hAnsi="Arial Narrow"/>
                <w:color w:val="000000"/>
                <w:sz w:val="13"/>
                <w:szCs w:val="13"/>
              </w:rPr>
              <w:br/>
            </w:r>
            <w:r w:rsidRPr="00F7606D">
              <w:rPr>
                <w:rStyle w:val="cell"/>
                <w:rFonts w:ascii="Arial Narrow" w:hAnsi="Arial Narrow"/>
                <w:color w:val="000000"/>
                <w:sz w:val="13"/>
                <w:szCs w:val="13"/>
              </w:rPr>
              <w:t>(0.42 to 0.84)</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118 fewer per 1000 (from 46 fewer to 168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38/673 (5.6%)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15/358 (4.2%)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1.22</w:t>
            </w:r>
            <w:r w:rsidRPr="00F7606D">
              <w:rPr>
                <w:rFonts w:ascii="Arial Narrow" w:hAnsi="Arial Narrow"/>
                <w:color w:val="000000"/>
                <w:sz w:val="13"/>
                <w:szCs w:val="13"/>
              </w:rPr>
              <w:br/>
            </w:r>
            <w:r w:rsidRPr="00F7606D">
              <w:rPr>
                <w:rStyle w:val="cell"/>
                <w:rFonts w:ascii="Arial Narrow" w:hAnsi="Arial Narrow"/>
                <w:color w:val="000000"/>
                <w:sz w:val="13"/>
                <w:szCs w:val="13"/>
              </w:rPr>
              <w:t>(0.50 to 2.74)</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9 more per 1000 (from 21 fewer to 73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31"/>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Heterogeneity may be explained by differences in study setting. One study compared natalizumab with placebo over a two years period while the other tested treatment interruption in natalizumab users</w:t>
      </w:r>
    </w:p>
    <w:p w:rsidR="00302407" w:rsidRPr="00F7606D" w:rsidRDefault="00302407" w:rsidP="004E2A63">
      <w:pPr>
        <w:numPr>
          <w:ilvl w:val="0"/>
          <w:numId w:val="31"/>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One study compared natalizumab with placebo over a two years period while the other tested treatment interruption in natalizumab users</w:t>
      </w:r>
    </w:p>
    <w:p w:rsidR="00302407" w:rsidRPr="00F7606D" w:rsidRDefault="00302407" w:rsidP="004E2A63">
      <w:pPr>
        <w:numPr>
          <w:ilvl w:val="0"/>
          <w:numId w:val="31"/>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31"/>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 xml:space="preserve">Patients’ treatment history was unclear. </w:t>
      </w:r>
    </w:p>
    <w:p w:rsidR="00302407" w:rsidRPr="00F7606D" w:rsidRDefault="00302407" w:rsidP="004E2A63">
      <w:pPr>
        <w:numPr>
          <w:ilvl w:val="0"/>
          <w:numId w:val="31"/>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31"/>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302407">
      <w:r w:rsidRPr="00F7606D">
        <w:br w:type="page"/>
      </w:r>
    </w:p>
    <w:p w:rsidR="00302407" w:rsidRPr="00F7606D" w:rsidRDefault="00302407" w:rsidP="00302407">
      <w:pPr>
        <w:pStyle w:val="31"/>
        <w:rPr>
          <w:lang w:val="en-GB"/>
        </w:rPr>
      </w:pPr>
      <w:r w:rsidRPr="00F7606D">
        <w:rPr>
          <w:lang w:val="en-GB"/>
        </w:rPr>
        <w:t xml:space="preserve">Interferon beta-1b 250 mcg SC every other day compared to Placebo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494"/>
        <w:gridCol w:w="862"/>
        <w:gridCol w:w="779"/>
        <w:gridCol w:w="749"/>
        <w:gridCol w:w="909"/>
        <w:gridCol w:w="648"/>
        <w:gridCol w:w="559"/>
        <w:gridCol w:w="559"/>
        <w:gridCol w:w="758"/>
        <w:gridCol w:w="948"/>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beta-1b 250 mcg SC every other day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-/124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-/122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0.65</w:t>
            </w:r>
            <w:r w:rsidRPr="00F7606D">
              <w:rPr>
                <w:rFonts w:ascii="Arial Narrow" w:hAnsi="Arial Narrow"/>
                <w:color w:val="000000"/>
                <w:sz w:val="13"/>
                <w:szCs w:val="13"/>
              </w:rPr>
              <w:br/>
            </w:r>
            <w:r w:rsidRPr="00F7606D">
              <w:rPr>
                <w:rStyle w:val="cell"/>
                <w:rFonts w:ascii="Arial Narrow" w:hAnsi="Arial Narrow"/>
                <w:color w:val="000000"/>
                <w:sz w:val="13"/>
                <w:szCs w:val="13"/>
              </w:rPr>
              <w:t>(0.51 to 0.83)</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43/122 (35.2%)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56/122 (45.9%)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0.77</w:t>
            </w:r>
            <w:r w:rsidRPr="00F7606D">
              <w:rPr>
                <w:rFonts w:ascii="Arial Narrow" w:hAnsi="Arial Narrow"/>
                <w:color w:val="000000"/>
                <w:sz w:val="13"/>
                <w:szCs w:val="13"/>
              </w:rPr>
              <w:br/>
            </w:r>
            <w:r w:rsidRPr="00F7606D">
              <w:rPr>
                <w:rStyle w:val="cell"/>
                <w:rFonts w:ascii="Arial Narrow" w:hAnsi="Arial Narrow"/>
                <w:color w:val="000000"/>
                <w:sz w:val="13"/>
                <w:szCs w:val="13"/>
              </w:rPr>
              <w:t>(0.50 to 1.17)</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106 fewer per 1000 (from 78 more to 230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1/124 (0.8%)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10/122 (8.2%)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0.070</w:t>
            </w:r>
            <w:r w:rsidRPr="00F7606D">
              <w:rPr>
                <w:rFonts w:ascii="Arial Narrow" w:hAnsi="Arial Narrow"/>
                <w:color w:val="000000"/>
                <w:sz w:val="13"/>
                <w:szCs w:val="13"/>
              </w:rPr>
              <w:br/>
            </w:r>
            <w:r w:rsidRPr="00F7606D">
              <w:rPr>
                <w:rStyle w:val="cell"/>
                <w:rFonts w:ascii="Arial Narrow" w:hAnsi="Arial Narrow"/>
                <w:color w:val="000000"/>
                <w:sz w:val="13"/>
                <w:szCs w:val="13"/>
              </w:rPr>
              <w:t>(0.003 to 0.480)</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76 fewer per 1000 (from 43 fewer to 82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32"/>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32"/>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 xml:space="preserve">Patients were treatment naïve. </w:t>
      </w:r>
    </w:p>
    <w:p w:rsidR="00302407" w:rsidRPr="00F7606D" w:rsidRDefault="00302407" w:rsidP="004E2A63">
      <w:pPr>
        <w:numPr>
          <w:ilvl w:val="0"/>
          <w:numId w:val="32"/>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For continuous outcomes, a sample size of approximately 400 may not be sufficient to insure prognostic balance (ref GRADE 6 paper).</w:t>
      </w:r>
    </w:p>
    <w:p w:rsidR="00302407" w:rsidRPr="00F7606D" w:rsidRDefault="00302407" w:rsidP="004E2A63">
      <w:pPr>
        <w:numPr>
          <w:ilvl w:val="0"/>
          <w:numId w:val="32"/>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32"/>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4E2A63">
      <w:pPr>
        <w:numPr>
          <w:ilvl w:val="0"/>
          <w:numId w:val="32"/>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effect estimate and the confidence interval are not robust. Minor variations in number of events would change the results.</w:t>
      </w:r>
    </w:p>
    <w:p w:rsidR="00302407" w:rsidRPr="00F7606D" w:rsidRDefault="00302407" w:rsidP="00302407">
      <w:pPr>
        <w:pStyle w:val="31"/>
        <w:rPr>
          <w:lang w:val="en-GB"/>
        </w:rPr>
      </w:pPr>
      <w:r w:rsidRPr="00F7606D">
        <w:rPr>
          <w:lang w:val="en-GB"/>
        </w:rPr>
        <w:t xml:space="preserve">Alemtuzumab 24 mg IV q.d compared to Alemtuzumab 12 mg IV q.d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07"/>
        <w:gridCol w:w="682"/>
        <w:gridCol w:w="478"/>
        <w:gridCol w:w="829"/>
        <w:gridCol w:w="750"/>
        <w:gridCol w:w="721"/>
        <w:gridCol w:w="874"/>
        <w:gridCol w:w="816"/>
        <w:gridCol w:w="816"/>
        <w:gridCol w:w="540"/>
        <w:gridCol w:w="586"/>
        <w:gridCol w:w="925"/>
        <w:gridCol w:w="698"/>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302407" w:rsidRDefault="00302407" w:rsidP="00302407">
            <w:pPr>
              <w:spacing w:line="140" w:lineRule="atLeast"/>
              <w:jc w:val="center"/>
              <w:rPr>
                <w:rFonts w:ascii="Arial Narrow" w:hAnsi="Arial Narrow"/>
                <w:b/>
                <w:bCs/>
                <w:color w:val="000000"/>
                <w:sz w:val="13"/>
                <w:szCs w:val="13"/>
                <w:lang w:val="nb-NO"/>
              </w:rPr>
            </w:pPr>
            <w:r w:rsidRPr="00302407">
              <w:rPr>
                <w:rFonts w:ascii="Arial Narrow" w:hAnsi="Arial Narrow"/>
                <w:b/>
                <w:bCs/>
                <w:color w:val="000000"/>
                <w:sz w:val="13"/>
                <w:szCs w:val="13"/>
                <w:lang w:val="nb-NO"/>
              </w:rPr>
              <w:t>Alemtuzumab 24 mg IV q.d</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302407" w:rsidRDefault="00302407" w:rsidP="00302407">
            <w:pPr>
              <w:spacing w:line="140" w:lineRule="atLeast"/>
              <w:jc w:val="center"/>
              <w:rPr>
                <w:rFonts w:ascii="Arial Narrow" w:hAnsi="Arial Narrow"/>
                <w:b/>
                <w:bCs/>
                <w:color w:val="000000"/>
                <w:sz w:val="13"/>
                <w:szCs w:val="13"/>
                <w:lang w:val="nb-NO"/>
              </w:rPr>
            </w:pPr>
            <w:r w:rsidRPr="00302407">
              <w:rPr>
                <w:rFonts w:ascii="Arial Narrow" w:hAnsi="Arial Narrow"/>
                <w:b/>
                <w:bCs/>
                <w:color w:val="000000"/>
                <w:sz w:val="13"/>
                <w:szCs w:val="13"/>
                <w:lang w:val="nb-NO"/>
              </w:rPr>
              <w:t>Alemtuzumab 12 mg IV q.d</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-/110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-/112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0.55</w:t>
            </w:r>
            <w:r w:rsidRPr="00F7606D">
              <w:rPr>
                <w:rFonts w:ascii="Arial Narrow" w:hAnsi="Arial Narrow"/>
                <w:color w:val="000000"/>
                <w:sz w:val="13"/>
                <w:szCs w:val="13"/>
              </w:rPr>
              <w:br/>
            </w:r>
            <w:r w:rsidRPr="00F7606D">
              <w:rPr>
                <w:rStyle w:val="cell"/>
                <w:rFonts w:ascii="Arial Narrow" w:hAnsi="Arial Narrow"/>
                <w:color w:val="000000"/>
                <w:sz w:val="13"/>
                <w:szCs w:val="13"/>
              </w:rPr>
              <w:t>(0.35 to 0.86)</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 (disability sustained for 6 months)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10/110 (9.1%)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8/112 (7.1%)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0.85</w:t>
            </w:r>
            <w:r w:rsidRPr="00F7606D">
              <w:rPr>
                <w:rFonts w:ascii="Arial Narrow" w:hAnsi="Arial Narrow"/>
                <w:color w:val="000000"/>
                <w:sz w:val="13"/>
                <w:szCs w:val="13"/>
              </w:rPr>
              <w:br/>
            </w:r>
            <w:r w:rsidRPr="00F7606D">
              <w:rPr>
                <w:rStyle w:val="cell"/>
                <w:rFonts w:ascii="Arial Narrow" w:hAnsi="Arial Narrow"/>
                <w:color w:val="000000"/>
                <w:sz w:val="13"/>
                <w:szCs w:val="13"/>
              </w:rPr>
              <w:t>(0.40 to 1.65)</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11 fewer per 1000 (from 43 fewer to 46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VERY 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7</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7/280 (2.5%)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16/539 (3.0%)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0.88</w:t>
            </w:r>
            <w:r w:rsidRPr="00F7606D">
              <w:rPr>
                <w:rFonts w:ascii="Arial Narrow" w:hAnsi="Arial Narrow"/>
                <w:color w:val="000000"/>
                <w:sz w:val="13"/>
                <w:szCs w:val="13"/>
              </w:rPr>
              <w:br/>
            </w:r>
            <w:r w:rsidRPr="00F7606D">
              <w:rPr>
                <w:rStyle w:val="cell"/>
                <w:rFonts w:ascii="Arial Narrow" w:hAnsi="Arial Narrow"/>
                <w:color w:val="000000"/>
                <w:sz w:val="13"/>
                <w:szCs w:val="13"/>
              </w:rPr>
              <w:t>(0.30 to 2.31)</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 fewer per 1000 (from 21 fewer to 39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7</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33"/>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33"/>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Few patients could have received the intended three treatments’s rounds. Alemtuzumab arms were suspended from 2005 as immune thrombocytopenic purpura developed in three patients, and one of them died (patients were recruited from 2002 to 2004).</w:t>
      </w:r>
    </w:p>
    <w:p w:rsidR="00302407" w:rsidRPr="00F7606D" w:rsidRDefault="00302407" w:rsidP="004E2A63">
      <w:pPr>
        <w:numPr>
          <w:ilvl w:val="0"/>
          <w:numId w:val="33"/>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 xml:space="preserve">Patients were treatment naïve. </w:t>
      </w:r>
    </w:p>
    <w:p w:rsidR="00302407" w:rsidRPr="00F7606D" w:rsidRDefault="00302407" w:rsidP="004E2A63">
      <w:pPr>
        <w:numPr>
          <w:ilvl w:val="0"/>
          <w:numId w:val="33"/>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For continuous outcomes, a sample size of approximately 400 may not be sufficient to insure prognostic balance (ref GRADE 6 paper).</w:t>
      </w:r>
    </w:p>
    <w:p w:rsidR="00302407" w:rsidRPr="00F7606D" w:rsidRDefault="00302407" w:rsidP="004E2A63">
      <w:pPr>
        <w:numPr>
          <w:ilvl w:val="0"/>
          <w:numId w:val="33"/>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33"/>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4E2A63">
      <w:pPr>
        <w:numPr>
          <w:ilvl w:val="0"/>
          <w:numId w:val="33"/>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In the minor contributing study patients were treatment naïve. In the major contributing study patients were treatment experienced.</w:t>
      </w:r>
    </w:p>
    <w:p w:rsidR="00302407" w:rsidRPr="00F7606D" w:rsidRDefault="00302407" w:rsidP="00302407">
      <w:pPr>
        <w:pStyle w:val="31"/>
        <w:rPr>
          <w:lang w:val="en-GB"/>
        </w:rPr>
      </w:pPr>
      <w:r w:rsidRPr="00F7606D">
        <w:rPr>
          <w:lang w:val="en-GB"/>
        </w:rPr>
        <w:t xml:space="preserve">Interferon beta-1a 44 mcg compared to Alemtuzumab 12 mg IV q.d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16"/>
        <w:gridCol w:w="698"/>
        <w:gridCol w:w="488"/>
        <w:gridCol w:w="849"/>
        <w:gridCol w:w="767"/>
        <w:gridCol w:w="738"/>
        <w:gridCol w:w="895"/>
        <w:gridCol w:w="639"/>
        <w:gridCol w:w="836"/>
        <w:gridCol w:w="551"/>
        <w:gridCol w:w="598"/>
        <w:gridCol w:w="933"/>
        <w:gridCol w:w="714"/>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beta-1a 44 mcg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302407" w:rsidRDefault="00302407" w:rsidP="00302407">
            <w:pPr>
              <w:spacing w:line="140" w:lineRule="atLeast"/>
              <w:jc w:val="center"/>
              <w:rPr>
                <w:rFonts w:ascii="Arial Narrow" w:hAnsi="Arial Narrow"/>
                <w:b/>
                <w:bCs/>
                <w:color w:val="000000"/>
                <w:sz w:val="13"/>
                <w:szCs w:val="13"/>
                <w:lang w:val="nb-NO"/>
              </w:rPr>
            </w:pPr>
            <w:r w:rsidRPr="00302407">
              <w:rPr>
                <w:rFonts w:ascii="Arial Narrow" w:hAnsi="Arial Narrow"/>
                <w:b/>
                <w:bCs/>
                <w:color w:val="000000"/>
                <w:sz w:val="13"/>
                <w:szCs w:val="13"/>
                <w:lang w:val="nb-NO"/>
              </w:rPr>
              <w:t>Alemtuzumab 12 mg IV q.d</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-/500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-/924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2.22</w:t>
            </w:r>
            <w:r w:rsidRPr="00F7606D">
              <w:rPr>
                <w:rFonts w:ascii="Arial Narrow" w:hAnsi="Arial Narrow"/>
                <w:color w:val="000000"/>
                <w:sz w:val="13"/>
                <w:szCs w:val="13"/>
              </w:rPr>
              <w:br/>
            </w:r>
            <w:r w:rsidRPr="00F7606D">
              <w:rPr>
                <w:rStyle w:val="cell"/>
                <w:rFonts w:ascii="Arial Narrow" w:hAnsi="Arial Narrow"/>
                <w:color w:val="000000"/>
                <w:sz w:val="13"/>
                <w:szCs w:val="13"/>
              </w:rPr>
              <w:t>(1.89 to 2.63)</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Fonts w:ascii="Arial Narrow" w:hAnsi="Arial Narrow"/>
                <w:color w:val="000000"/>
                <w:sz w:val="13"/>
                <w:szCs w:val="13"/>
              </w:rPr>
              <w:br/>
              <w:t xml:space="preserve">HIGH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113/529 (21.4%)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102/924 (11.0%)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1.95</w:t>
            </w:r>
            <w:r w:rsidRPr="00F7606D">
              <w:rPr>
                <w:rFonts w:ascii="Arial Narrow" w:hAnsi="Arial Narrow"/>
                <w:color w:val="000000"/>
                <w:sz w:val="13"/>
                <w:szCs w:val="13"/>
              </w:rPr>
              <w:br/>
            </w:r>
            <w:r w:rsidRPr="00F7606D">
              <w:rPr>
                <w:rStyle w:val="cell"/>
                <w:rFonts w:ascii="Arial Narrow" w:hAnsi="Arial Narrow"/>
                <w:color w:val="000000"/>
                <w:sz w:val="13"/>
                <w:szCs w:val="13"/>
              </w:rPr>
              <w:t>(1.45 to 2.59)</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105 more per 1000 (from 50 more to 176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39/500 (7.8%)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21/924 (2.3%)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3.60</w:t>
            </w:r>
            <w:r w:rsidRPr="00F7606D">
              <w:rPr>
                <w:rFonts w:ascii="Arial Narrow" w:hAnsi="Arial Narrow"/>
                <w:color w:val="000000"/>
                <w:sz w:val="13"/>
                <w:szCs w:val="13"/>
              </w:rPr>
              <w:br/>
            </w:r>
            <w:r w:rsidRPr="00F7606D">
              <w:rPr>
                <w:rStyle w:val="cell"/>
                <w:rFonts w:ascii="Arial Narrow" w:hAnsi="Arial Narrow"/>
                <w:color w:val="000000"/>
                <w:sz w:val="13"/>
                <w:szCs w:val="13"/>
              </w:rPr>
              <w:t>(1.88 to 7.34)</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59 more per 1000 (from 20 more to 144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34"/>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 xml:space="preserve">Some inconsistency. It might be explained by the fact that in one study alemtuzumab arms were suspended. </w:t>
      </w:r>
    </w:p>
    <w:p w:rsidR="00302407" w:rsidRPr="00F7606D" w:rsidRDefault="00302407" w:rsidP="004E2A63">
      <w:pPr>
        <w:numPr>
          <w:ilvl w:val="0"/>
          <w:numId w:val="34"/>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Included approximately the same proportion of treatment naïve and experienced patients.</w:t>
      </w:r>
    </w:p>
    <w:p w:rsidR="00302407" w:rsidRPr="00F7606D" w:rsidRDefault="00302407" w:rsidP="004E2A63">
      <w:pPr>
        <w:numPr>
          <w:ilvl w:val="0"/>
          <w:numId w:val="34"/>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In the minor contributing study, alemtuzumab arms were suspended from 2005 as immune thrombocytopenic purpura developed in three patients, and one of them died (Patients were recruited from 2002 to 2004).</w:t>
      </w:r>
    </w:p>
    <w:p w:rsidR="00302407" w:rsidRPr="00F7606D" w:rsidRDefault="00302407" w:rsidP="004E2A63">
      <w:pPr>
        <w:numPr>
          <w:ilvl w:val="0"/>
          <w:numId w:val="34"/>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302407">
      <w:pPr>
        <w:pStyle w:val="31"/>
        <w:rPr>
          <w:lang w:val="en-GB"/>
        </w:rPr>
      </w:pPr>
      <w:r w:rsidRPr="00F7606D">
        <w:rPr>
          <w:lang w:val="en-GB"/>
        </w:rPr>
        <w:t xml:space="preserve">Interferon beta-1a 44 mcg compared to Alemtuzumab 24 mg IV q.d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15"/>
        <w:gridCol w:w="696"/>
        <w:gridCol w:w="487"/>
        <w:gridCol w:w="847"/>
        <w:gridCol w:w="766"/>
        <w:gridCol w:w="737"/>
        <w:gridCol w:w="893"/>
        <w:gridCol w:w="638"/>
        <w:gridCol w:w="835"/>
        <w:gridCol w:w="551"/>
        <w:gridCol w:w="598"/>
        <w:gridCol w:w="946"/>
        <w:gridCol w:w="713"/>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beta-1a 44 mcg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302407" w:rsidRDefault="00302407" w:rsidP="00302407">
            <w:pPr>
              <w:spacing w:line="140" w:lineRule="atLeast"/>
              <w:jc w:val="center"/>
              <w:rPr>
                <w:rFonts w:ascii="Arial Narrow" w:hAnsi="Arial Narrow"/>
                <w:b/>
                <w:bCs/>
                <w:color w:val="000000"/>
                <w:sz w:val="13"/>
                <w:szCs w:val="13"/>
                <w:lang w:val="nb-NO"/>
              </w:rPr>
            </w:pPr>
            <w:r w:rsidRPr="00302407">
              <w:rPr>
                <w:rFonts w:ascii="Arial Narrow" w:hAnsi="Arial Narrow"/>
                <w:b/>
                <w:bCs/>
                <w:color w:val="000000"/>
                <w:sz w:val="13"/>
                <w:szCs w:val="13"/>
                <w:lang w:val="nb-NO"/>
              </w:rPr>
              <w:t>Alemtuzumab 24 mg IV q.d</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-/111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-/110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3.33</w:t>
            </w:r>
            <w:r w:rsidRPr="00F7606D">
              <w:rPr>
                <w:rFonts w:ascii="Arial Narrow" w:hAnsi="Arial Narrow"/>
                <w:color w:val="000000"/>
                <w:sz w:val="13"/>
                <w:szCs w:val="13"/>
              </w:rPr>
              <w:br/>
            </w:r>
            <w:r w:rsidRPr="00F7606D">
              <w:rPr>
                <w:rStyle w:val="cell"/>
                <w:rFonts w:ascii="Arial Narrow" w:hAnsi="Arial Narrow"/>
                <w:color w:val="000000"/>
                <w:sz w:val="13"/>
                <w:szCs w:val="13"/>
              </w:rPr>
              <w:t>(1.94 to 5.79)</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24/111 (21.6%)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10/110 (9.1%)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2.15</w:t>
            </w:r>
            <w:r w:rsidRPr="00F7606D">
              <w:rPr>
                <w:rFonts w:ascii="Arial Narrow" w:hAnsi="Arial Narrow"/>
                <w:color w:val="000000"/>
                <w:sz w:val="13"/>
                <w:szCs w:val="13"/>
              </w:rPr>
              <w:br/>
            </w:r>
            <w:r w:rsidRPr="00F7606D">
              <w:rPr>
                <w:rStyle w:val="cell"/>
                <w:rFonts w:ascii="Arial Narrow" w:hAnsi="Arial Narrow"/>
                <w:color w:val="000000"/>
                <w:sz w:val="13"/>
                <w:szCs w:val="13"/>
              </w:rPr>
              <w:t>(1.10 to 4.55)</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105 more per 1000 (from 9 more to 323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VERY 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7</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8</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28/313 (8.9%)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7/280 (2.5%)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4.08</w:t>
            </w:r>
            <w:r w:rsidRPr="00F7606D">
              <w:rPr>
                <w:rFonts w:ascii="Arial Narrow" w:hAnsi="Arial Narrow"/>
                <w:color w:val="000000"/>
                <w:sz w:val="13"/>
                <w:szCs w:val="13"/>
              </w:rPr>
              <w:br/>
            </w:r>
            <w:r w:rsidRPr="00F7606D">
              <w:rPr>
                <w:rStyle w:val="cell"/>
                <w:rFonts w:ascii="Arial Narrow" w:hAnsi="Arial Narrow"/>
                <w:color w:val="000000"/>
                <w:sz w:val="13"/>
                <w:szCs w:val="13"/>
              </w:rPr>
              <w:t>(1.69 to 11.42)</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77 more per 1000 (from 17 more to 261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VERY 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7</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8</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35"/>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35"/>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Few patients could have received the intended three treatments’s rounds. Alemtuzumab arms were suspended from 2005 as immune thrombocytopenic purpura developed in three patients, and one of them died (Patients were recruited from 2002 to 2004).</w:t>
      </w:r>
    </w:p>
    <w:p w:rsidR="00302407" w:rsidRPr="00F7606D" w:rsidRDefault="00302407" w:rsidP="004E2A63">
      <w:pPr>
        <w:numPr>
          <w:ilvl w:val="0"/>
          <w:numId w:val="35"/>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 xml:space="preserve">Patients were treatment naïve. </w:t>
      </w:r>
    </w:p>
    <w:p w:rsidR="00302407" w:rsidRPr="00F7606D" w:rsidRDefault="00302407" w:rsidP="004E2A63">
      <w:pPr>
        <w:numPr>
          <w:ilvl w:val="0"/>
          <w:numId w:val="35"/>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For continuous outcomes, a sample size of approximately 400 may not be sufficient to insure prognostic balance (ref GRADE 6 paper).</w:t>
      </w:r>
    </w:p>
    <w:p w:rsidR="00302407" w:rsidRPr="00F7606D" w:rsidRDefault="00302407" w:rsidP="004E2A63">
      <w:pPr>
        <w:numPr>
          <w:ilvl w:val="0"/>
          <w:numId w:val="35"/>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35"/>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effect estimate and the confidence interval are not robust. Minor variations in number of events would change the results.</w:t>
      </w:r>
    </w:p>
    <w:p w:rsidR="00302407" w:rsidRPr="00F7606D" w:rsidRDefault="00302407" w:rsidP="004E2A63">
      <w:pPr>
        <w:numPr>
          <w:ilvl w:val="0"/>
          <w:numId w:val="35"/>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In one of the two studies, few patients could have received the intended three treatments’s rounds. Alemtuzumab arms were suspended from 2005 as immune thrombocytopenic purpura developed in three patients, and one of them died (Patients were recruited from 2002 to 2004).</w:t>
      </w:r>
    </w:p>
    <w:p w:rsidR="00302407" w:rsidRPr="00F7606D" w:rsidRDefault="00302407" w:rsidP="004E2A63">
      <w:pPr>
        <w:numPr>
          <w:ilvl w:val="0"/>
          <w:numId w:val="35"/>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In the minor contributing study patients were treatment naïve. In the major contributing study patients were treatment experienced.</w:t>
      </w:r>
    </w:p>
    <w:p w:rsidR="00302407" w:rsidRPr="00F7606D" w:rsidRDefault="00302407" w:rsidP="00302407">
      <w:pPr>
        <w:pStyle w:val="31"/>
        <w:rPr>
          <w:lang w:val="en-GB"/>
        </w:rPr>
      </w:pPr>
      <w:r w:rsidRPr="00F7606D">
        <w:rPr>
          <w:lang w:val="en-GB"/>
        </w:rPr>
        <w:t xml:space="preserve">Interferon beta-1a 44 mcg compared to Interferon beta-1a 22 mcg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494"/>
        <w:gridCol w:w="862"/>
        <w:gridCol w:w="779"/>
        <w:gridCol w:w="749"/>
        <w:gridCol w:w="909"/>
        <w:gridCol w:w="648"/>
        <w:gridCol w:w="648"/>
        <w:gridCol w:w="559"/>
        <w:gridCol w:w="669"/>
        <w:gridCol w:w="948"/>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beta-1a 44 mcg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beta-1a 22 mcg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-/184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-/189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0.68</w:t>
            </w:r>
            <w:r w:rsidRPr="00F7606D">
              <w:rPr>
                <w:rFonts w:ascii="Arial Narrow" w:hAnsi="Arial Narrow"/>
                <w:color w:val="000000"/>
                <w:sz w:val="13"/>
                <w:szCs w:val="13"/>
              </w:rPr>
              <w:br/>
            </w:r>
            <w:r w:rsidRPr="00F7606D">
              <w:rPr>
                <w:rStyle w:val="cell"/>
                <w:rFonts w:ascii="Arial Narrow" w:hAnsi="Arial Narrow"/>
                <w:color w:val="000000"/>
                <w:sz w:val="13"/>
                <w:szCs w:val="13"/>
              </w:rPr>
              <w:t>(0.56 to 0.83)</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54/184 (29.3%)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64/189 (33.9%)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0.92</w:t>
            </w:r>
            <w:r w:rsidRPr="00F7606D">
              <w:rPr>
                <w:rFonts w:ascii="Arial Narrow" w:hAnsi="Arial Narrow"/>
                <w:color w:val="000000"/>
                <w:sz w:val="13"/>
                <w:szCs w:val="13"/>
              </w:rPr>
              <w:br/>
            </w:r>
            <w:r w:rsidRPr="00F7606D">
              <w:rPr>
                <w:rStyle w:val="cell"/>
                <w:rFonts w:ascii="Arial Narrow" w:hAnsi="Arial Narrow"/>
                <w:color w:val="000000"/>
                <w:sz w:val="13"/>
                <w:szCs w:val="13"/>
              </w:rPr>
              <w:t>(0.65 to 1.30)</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27 fewer per 1000 (from 102 more to 119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9/184 (4.9%)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6/189 (3.2%)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1.31</w:t>
            </w:r>
            <w:r w:rsidRPr="00F7606D">
              <w:rPr>
                <w:rFonts w:ascii="Arial Narrow" w:hAnsi="Arial Narrow"/>
                <w:color w:val="000000"/>
                <w:sz w:val="13"/>
                <w:szCs w:val="13"/>
              </w:rPr>
              <w:br/>
            </w:r>
            <w:r w:rsidRPr="00F7606D">
              <w:rPr>
                <w:rStyle w:val="cell"/>
                <w:rFonts w:ascii="Arial Narrow" w:hAnsi="Arial Narrow"/>
                <w:color w:val="000000"/>
                <w:sz w:val="13"/>
                <w:szCs w:val="13"/>
              </w:rPr>
              <w:t>(0.40 to 4.36)</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 more per 1000 (from 19 fewer to 107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36"/>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36"/>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 xml:space="preserve">Patients were treatment naïve. </w:t>
      </w:r>
    </w:p>
    <w:p w:rsidR="00302407" w:rsidRPr="00F7606D" w:rsidRDefault="00302407" w:rsidP="004E2A63">
      <w:pPr>
        <w:numPr>
          <w:ilvl w:val="0"/>
          <w:numId w:val="36"/>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For continuous outcomes, a sample size of approximately 400 may not be sufficient to insure prognostic balance (ref GRADE 6 paper).</w:t>
      </w:r>
    </w:p>
    <w:p w:rsidR="00302407" w:rsidRPr="00F7606D" w:rsidRDefault="00302407" w:rsidP="004E2A63">
      <w:pPr>
        <w:numPr>
          <w:ilvl w:val="0"/>
          <w:numId w:val="36"/>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36"/>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302407">
      <w:pPr>
        <w:pStyle w:val="31"/>
        <w:rPr>
          <w:lang w:val="en-GB"/>
        </w:rPr>
      </w:pPr>
      <w:r w:rsidRPr="00F7606D">
        <w:rPr>
          <w:lang w:val="en-GB"/>
        </w:rPr>
        <w:t xml:space="preserve">Interferon beta-1a 44 mcg compared to Interferon beta-1a 30 mcg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578"/>
        <w:gridCol w:w="861"/>
        <w:gridCol w:w="778"/>
        <w:gridCol w:w="748"/>
        <w:gridCol w:w="908"/>
        <w:gridCol w:w="647"/>
        <w:gridCol w:w="647"/>
        <w:gridCol w:w="558"/>
        <w:gridCol w:w="606"/>
        <w:gridCol w:w="935"/>
        <w:gridCol w:w="724"/>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beta-1a 44 mcg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beta-1a 30 mcg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-/424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-/423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0.76</w:t>
            </w:r>
            <w:r w:rsidRPr="00F7606D">
              <w:rPr>
                <w:rFonts w:ascii="Arial Narrow" w:hAnsi="Arial Narrow"/>
                <w:color w:val="000000"/>
                <w:sz w:val="13"/>
                <w:szCs w:val="13"/>
              </w:rPr>
              <w:br/>
            </w:r>
            <w:r w:rsidRPr="00F7606D">
              <w:rPr>
                <w:rStyle w:val="cell"/>
                <w:rFonts w:ascii="Arial Narrow" w:hAnsi="Arial Narrow"/>
                <w:color w:val="000000"/>
                <w:sz w:val="13"/>
                <w:szCs w:val="13"/>
              </w:rPr>
              <w:t>(0.63 to 0.93)</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Fonts w:ascii="Arial Narrow" w:hAnsi="Arial Narrow"/>
                <w:color w:val="000000"/>
                <w:sz w:val="13"/>
                <w:szCs w:val="13"/>
              </w:rPr>
              <w:br/>
              <w:t xml:space="preserve">HIGH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43/339 (12.7%)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49/338 (14.5%)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0.89</w:t>
            </w:r>
            <w:r w:rsidRPr="00F7606D">
              <w:rPr>
                <w:rFonts w:ascii="Arial Narrow" w:hAnsi="Arial Narrow"/>
                <w:color w:val="000000"/>
                <w:sz w:val="13"/>
                <w:szCs w:val="13"/>
              </w:rPr>
              <w:br/>
            </w:r>
            <w:r w:rsidRPr="00F7606D">
              <w:rPr>
                <w:rStyle w:val="cell"/>
                <w:rFonts w:ascii="Arial Narrow" w:hAnsi="Arial Narrow"/>
                <w:color w:val="000000"/>
                <w:sz w:val="13"/>
                <w:szCs w:val="13"/>
              </w:rPr>
              <w:t>(0.55 to 1.38)</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16 fewer per 1000 (from 55 more to 65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16/339 (4.7%)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14/337 (4.2%)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1.15</w:t>
            </w:r>
            <w:r w:rsidRPr="00F7606D">
              <w:rPr>
                <w:rFonts w:ascii="Arial Narrow" w:hAnsi="Arial Narrow"/>
                <w:color w:val="000000"/>
                <w:sz w:val="13"/>
                <w:szCs w:val="13"/>
              </w:rPr>
              <w:br/>
            </w:r>
            <w:r w:rsidRPr="00F7606D">
              <w:rPr>
                <w:rStyle w:val="cell"/>
                <w:rFonts w:ascii="Arial Narrow" w:hAnsi="Arial Narrow"/>
                <w:color w:val="000000"/>
                <w:sz w:val="13"/>
                <w:szCs w:val="13"/>
              </w:rPr>
              <w:t>(0.43 to 3.10)</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6 more per 1000 (from 24 fewer to 87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37"/>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major contributing study had no risk of bias issue.</w:t>
      </w:r>
    </w:p>
    <w:p w:rsidR="00302407" w:rsidRPr="00F7606D" w:rsidRDefault="00302407" w:rsidP="004E2A63">
      <w:pPr>
        <w:numPr>
          <w:ilvl w:val="0"/>
          <w:numId w:val="37"/>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Patients' treatment history was unclear in all three studies</w:t>
      </w:r>
    </w:p>
    <w:p w:rsidR="00302407" w:rsidRPr="00F7606D" w:rsidRDefault="00302407" w:rsidP="004E2A63">
      <w:pPr>
        <w:numPr>
          <w:ilvl w:val="0"/>
          <w:numId w:val="37"/>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37"/>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Patients' treatment history was unclear</w:t>
      </w:r>
    </w:p>
    <w:p w:rsidR="00302407" w:rsidRPr="00F7606D" w:rsidRDefault="00302407" w:rsidP="004E2A63">
      <w:pPr>
        <w:numPr>
          <w:ilvl w:val="0"/>
          <w:numId w:val="37"/>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37"/>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302407">
      <w:pPr>
        <w:pStyle w:val="31"/>
        <w:rPr>
          <w:lang w:val="en-GB"/>
        </w:rPr>
      </w:pPr>
      <w:r w:rsidRPr="00F7606D">
        <w:rPr>
          <w:lang w:val="en-GB"/>
        </w:rPr>
        <w:t xml:space="preserve">Interferon beta-1a 60 mcg compared to Interferon beta-1a 30 mcg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494"/>
        <w:gridCol w:w="862"/>
        <w:gridCol w:w="779"/>
        <w:gridCol w:w="749"/>
        <w:gridCol w:w="909"/>
        <w:gridCol w:w="648"/>
        <w:gridCol w:w="648"/>
        <w:gridCol w:w="559"/>
        <w:gridCol w:w="669"/>
        <w:gridCol w:w="948"/>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beta-1a 60 mcg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beta-1a 30 mcg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-/400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-/402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1.05</w:t>
            </w:r>
            <w:r w:rsidRPr="00F7606D">
              <w:rPr>
                <w:rFonts w:ascii="Arial Narrow" w:hAnsi="Arial Narrow"/>
                <w:color w:val="000000"/>
                <w:sz w:val="13"/>
                <w:szCs w:val="13"/>
              </w:rPr>
              <w:br/>
            </w:r>
            <w:r w:rsidRPr="00F7606D">
              <w:rPr>
                <w:rStyle w:val="cell"/>
                <w:rFonts w:ascii="Arial Narrow" w:hAnsi="Arial Narrow"/>
                <w:color w:val="000000"/>
                <w:sz w:val="13"/>
                <w:szCs w:val="13"/>
              </w:rPr>
              <w:t>(0.88 to 1.25)</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108/400 (27.0%)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109/402 (27.1%)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0.99</w:t>
            </w:r>
            <w:r w:rsidRPr="00F7606D">
              <w:rPr>
                <w:rFonts w:ascii="Arial Narrow" w:hAnsi="Arial Narrow"/>
                <w:color w:val="000000"/>
                <w:sz w:val="13"/>
                <w:szCs w:val="13"/>
              </w:rPr>
              <w:br/>
            </w:r>
            <w:r w:rsidRPr="00F7606D">
              <w:rPr>
                <w:rStyle w:val="cell"/>
                <w:rFonts w:ascii="Arial Narrow" w:hAnsi="Arial Narrow"/>
                <w:color w:val="000000"/>
                <w:sz w:val="13"/>
                <w:szCs w:val="13"/>
              </w:rPr>
              <w:t>(0.71 to 1.39)</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 fewer per 1000 (from 79 fewer to 106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64/400 (16.0%)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45/402 (11.2%)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1.43</w:t>
            </w:r>
            <w:r w:rsidRPr="00F7606D">
              <w:rPr>
                <w:rFonts w:ascii="Arial Narrow" w:hAnsi="Arial Narrow"/>
                <w:color w:val="000000"/>
                <w:sz w:val="13"/>
                <w:szCs w:val="13"/>
              </w:rPr>
              <w:br/>
            </w:r>
            <w:r w:rsidRPr="00F7606D">
              <w:rPr>
                <w:rStyle w:val="cell"/>
                <w:rFonts w:ascii="Arial Narrow" w:hAnsi="Arial Narrow"/>
                <w:color w:val="000000"/>
                <w:sz w:val="13"/>
                <w:szCs w:val="13"/>
              </w:rPr>
              <w:t>(0.66 to 3.11)</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48 more per 1000 (from 38 fewer to 236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38"/>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38"/>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Patients' treatment history was unclear</w:t>
      </w:r>
    </w:p>
    <w:p w:rsidR="00302407" w:rsidRPr="00F7606D" w:rsidRDefault="00302407" w:rsidP="004E2A63">
      <w:pPr>
        <w:numPr>
          <w:ilvl w:val="0"/>
          <w:numId w:val="38"/>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4E2A63">
      <w:pPr>
        <w:numPr>
          <w:ilvl w:val="0"/>
          <w:numId w:val="38"/>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302407">
      <w:pPr>
        <w:pStyle w:val="31"/>
        <w:rPr>
          <w:lang w:val="en-GB"/>
        </w:rPr>
      </w:pPr>
      <w:r w:rsidRPr="00F7606D">
        <w:rPr>
          <w:lang w:val="en-GB"/>
        </w:rPr>
        <w:t xml:space="preserve">Glatiramer acetate 20 mg compared to Interferon beta-1a 30 mcg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0"/>
        <w:gridCol w:w="704"/>
        <w:gridCol w:w="576"/>
        <w:gridCol w:w="856"/>
        <w:gridCol w:w="774"/>
        <w:gridCol w:w="744"/>
        <w:gridCol w:w="903"/>
        <w:gridCol w:w="680"/>
        <w:gridCol w:w="644"/>
        <w:gridCol w:w="556"/>
        <w:gridCol w:w="603"/>
        <w:gridCol w:w="942"/>
        <w:gridCol w:w="720"/>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Glatiramer acetate 20 mg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beta-1a 30 mcg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-/314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-/305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0.79</w:t>
            </w:r>
            <w:r w:rsidRPr="00F7606D">
              <w:rPr>
                <w:rFonts w:ascii="Arial Narrow" w:hAnsi="Arial Narrow"/>
                <w:color w:val="000000"/>
                <w:sz w:val="13"/>
                <w:szCs w:val="13"/>
              </w:rPr>
              <w:br/>
            </w:r>
            <w:r w:rsidRPr="00F7606D">
              <w:rPr>
                <w:rStyle w:val="cell"/>
                <w:rFonts w:ascii="Arial Narrow" w:hAnsi="Arial Narrow"/>
                <w:color w:val="000000"/>
                <w:sz w:val="13"/>
                <w:szCs w:val="13"/>
              </w:rPr>
              <w:t>(0.61 to 1.02)</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74/259 (28.6%)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61/250 (24.4%)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1.18</w:t>
            </w:r>
            <w:r w:rsidRPr="00F7606D">
              <w:rPr>
                <w:rFonts w:ascii="Arial Narrow" w:hAnsi="Arial Narrow"/>
                <w:color w:val="000000"/>
                <w:sz w:val="13"/>
                <w:szCs w:val="13"/>
              </w:rPr>
              <w:br/>
            </w:r>
            <w:r w:rsidRPr="00F7606D">
              <w:rPr>
                <w:rStyle w:val="cell"/>
                <w:rFonts w:ascii="Arial Narrow" w:hAnsi="Arial Narrow"/>
                <w:color w:val="000000"/>
                <w:sz w:val="13"/>
                <w:szCs w:val="13"/>
              </w:rPr>
              <w:t>(0.81 to 1.75)</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44 more per 1000 (from 46 fewer to 183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11/259 (4.2%)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17/250 (6.8%)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0.61</w:t>
            </w:r>
            <w:r w:rsidRPr="00F7606D">
              <w:rPr>
                <w:rFonts w:ascii="Arial Narrow" w:hAnsi="Arial Narrow"/>
                <w:color w:val="000000"/>
                <w:sz w:val="13"/>
                <w:szCs w:val="13"/>
              </w:rPr>
              <w:br/>
            </w:r>
            <w:r w:rsidRPr="00F7606D">
              <w:rPr>
                <w:rStyle w:val="cell"/>
                <w:rFonts w:ascii="Arial Narrow" w:hAnsi="Arial Narrow"/>
                <w:color w:val="000000"/>
                <w:sz w:val="13"/>
                <w:szCs w:val="13"/>
              </w:rPr>
              <w:t>(0.22 to 1.67)</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27 fewer per 1000 (from 46 more to 53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39"/>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major contributing study had no risk of bias issue</w:t>
      </w:r>
    </w:p>
    <w:p w:rsidR="00302407" w:rsidRPr="00F7606D" w:rsidRDefault="00302407" w:rsidP="004E2A63">
      <w:pPr>
        <w:numPr>
          <w:ilvl w:val="0"/>
          <w:numId w:val="39"/>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Unclear treatment history in both studies. In the major contributing study patients were excluded if prior use of either interferon or glatiramer acetate.</w:t>
      </w:r>
    </w:p>
    <w:p w:rsidR="00302407" w:rsidRPr="00F7606D" w:rsidRDefault="00302407" w:rsidP="004E2A63">
      <w:pPr>
        <w:numPr>
          <w:ilvl w:val="0"/>
          <w:numId w:val="39"/>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4E2A63">
      <w:pPr>
        <w:numPr>
          <w:ilvl w:val="0"/>
          <w:numId w:val="39"/>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39"/>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Unclear treatment history, but patients were excluded if prior use of either interferon or glatiramer acetate.</w:t>
      </w:r>
    </w:p>
    <w:p w:rsidR="00302407" w:rsidRPr="00F7606D" w:rsidRDefault="00302407" w:rsidP="004E2A63">
      <w:pPr>
        <w:numPr>
          <w:ilvl w:val="0"/>
          <w:numId w:val="39"/>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302407">
      <w:pPr>
        <w:pStyle w:val="31"/>
        <w:rPr>
          <w:lang w:val="en-GB"/>
        </w:rPr>
      </w:pPr>
      <w:r w:rsidRPr="00F7606D">
        <w:rPr>
          <w:lang w:val="en-GB"/>
        </w:rPr>
        <w:t xml:space="preserve">Fingolimod oral 0.5 mg compared to Interferon beta-1a 30 mcg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3"/>
        <w:gridCol w:w="707"/>
        <w:gridCol w:w="493"/>
        <w:gridCol w:w="862"/>
        <w:gridCol w:w="779"/>
        <w:gridCol w:w="749"/>
        <w:gridCol w:w="909"/>
        <w:gridCol w:w="725"/>
        <w:gridCol w:w="648"/>
        <w:gridCol w:w="559"/>
        <w:gridCol w:w="607"/>
        <w:gridCol w:w="936"/>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Fingolimod oral 0.5 mg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beta-1a 30 mcg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-/431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-/435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0.48</w:t>
            </w:r>
            <w:r w:rsidRPr="00F7606D">
              <w:rPr>
                <w:rFonts w:ascii="Arial Narrow" w:hAnsi="Arial Narrow"/>
                <w:color w:val="000000"/>
                <w:sz w:val="13"/>
                <w:szCs w:val="13"/>
              </w:rPr>
              <w:br/>
            </w:r>
            <w:r w:rsidRPr="00F7606D">
              <w:rPr>
                <w:rStyle w:val="cell"/>
                <w:rFonts w:ascii="Arial Narrow" w:hAnsi="Arial Narrow"/>
                <w:color w:val="000000"/>
                <w:sz w:val="13"/>
                <w:szCs w:val="13"/>
              </w:rPr>
              <w:t>(0.35 to 0.64)</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Fonts w:ascii="Arial Narrow" w:hAnsi="Arial Narrow"/>
                <w:color w:val="000000"/>
                <w:sz w:val="13"/>
                <w:szCs w:val="13"/>
              </w:rPr>
              <w:br/>
              <w:t xml:space="preserve">HIGH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27/431 (6.3%)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38/435 (8.7%)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0.72</w:t>
            </w:r>
            <w:r w:rsidRPr="00F7606D">
              <w:rPr>
                <w:rFonts w:ascii="Arial Narrow" w:hAnsi="Arial Narrow"/>
                <w:color w:val="000000"/>
                <w:sz w:val="13"/>
                <w:szCs w:val="13"/>
              </w:rPr>
              <w:br/>
            </w:r>
            <w:r w:rsidRPr="00F7606D">
              <w:rPr>
                <w:rStyle w:val="cell"/>
                <w:rFonts w:ascii="Arial Narrow" w:hAnsi="Arial Narrow"/>
                <w:color w:val="000000"/>
                <w:sz w:val="13"/>
                <w:szCs w:val="13"/>
              </w:rPr>
              <w:t>(0.42 to 1.17)</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24 fewer per 1000 (from 15 more to 51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25/429 (5.8%)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34/431 (7.9%)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1.28</w:t>
            </w:r>
            <w:r w:rsidRPr="00F7606D">
              <w:rPr>
                <w:rFonts w:ascii="Arial Narrow" w:hAnsi="Arial Narrow"/>
                <w:color w:val="000000"/>
                <w:sz w:val="13"/>
                <w:szCs w:val="13"/>
              </w:rPr>
              <w:br/>
            </w:r>
            <w:r w:rsidRPr="00F7606D">
              <w:rPr>
                <w:rStyle w:val="cell"/>
                <w:rFonts w:ascii="Arial Narrow" w:hAnsi="Arial Narrow"/>
                <w:color w:val="000000"/>
                <w:sz w:val="13"/>
                <w:szCs w:val="13"/>
              </w:rPr>
              <w:t>(0.52 to 3.44)</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22 more per 1000 (from 38 fewer to 192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40"/>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40"/>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40"/>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302407">
      <w:pPr>
        <w:pStyle w:val="31"/>
        <w:rPr>
          <w:lang w:val="en-GB"/>
        </w:rPr>
      </w:pPr>
      <w:r w:rsidRPr="00F7606D">
        <w:rPr>
          <w:lang w:val="en-GB"/>
        </w:rPr>
        <w:t xml:space="preserve">Fingolimod oral 1.25 mg compared to Interferon beta-1a 30 mcg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3"/>
        <w:gridCol w:w="707"/>
        <w:gridCol w:w="493"/>
        <w:gridCol w:w="862"/>
        <w:gridCol w:w="779"/>
        <w:gridCol w:w="749"/>
        <w:gridCol w:w="909"/>
        <w:gridCol w:w="725"/>
        <w:gridCol w:w="648"/>
        <w:gridCol w:w="559"/>
        <w:gridCol w:w="607"/>
        <w:gridCol w:w="936"/>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Fingolimod oral 1.25 mg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beta-1a 30 mcg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-/426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-/435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0.63</w:t>
            </w:r>
            <w:r w:rsidRPr="00F7606D">
              <w:rPr>
                <w:rFonts w:ascii="Arial Narrow" w:hAnsi="Arial Narrow"/>
                <w:color w:val="000000"/>
                <w:sz w:val="13"/>
                <w:szCs w:val="13"/>
              </w:rPr>
              <w:br/>
            </w:r>
            <w:r w:rsidRPr="00F7606D">
              <w:rPr>
                <w:rStyle w:val="cell"/>
                <w:rFonts w:ascii="Arial Narrow" w:hAnsi="Arial Narrow"/>
                <w:color w:val="000000"/>
                <w:sz w:val="13"/>
                <w:szCs w:val="13"/>
              </w:rPr>
              <w:t>(0.46 to 0.90)</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Fonts w:ascii="Arial Narrow" w:hAnsi="Arial Narrow"/>
                <w:color w:val="000000"/>
                <w:sz w:val="13"/>
                <w:szCs w:val="13"/>
              </w:rPr>
              <w:br/>
              <w:t xml:space="preserve">HIGH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34/426 (8.0%)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38/435 (8.7%)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0.99</w:t>
            </w:r>
            <w:r w:rsidRPr="00F7606D">
              <w:rPr>
                <w:rFonts w:ascii="Arial Narrow" w:hAnsi="Arial Narrow"/>
                <w:color w:val="000000"/>
                <w:sz w:val="13"/>
                <w:szCs w:val="13"/>
              </w:rPr>
              <w:br/>
            </w:r>
            <w:r w:rsidRPr="00F7606D">
              <w:rPr>
                <w:rStyle w:val="cell"/>
                <w:rFonts w:ascii="Arial Narrow" w:hAnsi="Arial Narrow"/>
                <w:color w:val="000000"/>
                <w:sz w:val="13"/>
                <w:szCs w:val="13"/>
              </w:rPr>
              <w:t>(0.58 to 1.60)</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 fewer per 1000 (from 37 fewer to 52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28/420 (6.7%)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34/431 (7.9%)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2.44</w:t>
            </w:r>
            <w:r w:rsidRPr="00F7606D">
              <w:rPr>
                <w:rFonts w:ascii="Arial Narrow" w:hAnsi="Arial Narrow"/>
                <w:color w:val="000000"/>
                <w:sz w:val="13"/>
                <w:szCs w:val="13"/>
              </w:rPr>
              <w:br/>
            </w:r>
            <w:r w:rsidRPr="00F7606D">
              <w:rPr>
                <w:rStyle w:val="cell"/>
                <w:rFonts w:ascii="Arial Narrow" w:hAnsi="Arial Narrow"/>
                <w:color w:val="000000"/>
                <w:sz w:val="13"/>
                <w:szCs w:val="13"/>
              </w:rPr>
              <w:t>(1.09 to 5.68)</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114 more per 1000 (from 7 more to 369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41"/>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41"/>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4E2A63">
      <w:pPr>
        <w:numPr>
          <w:ilvl w:val="0"/>
          <w:numId w:val="41"/>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41"/>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effect estimate and the confidence interval are not robust. Minor variations in number of events would change the results.</w:t>
      </w:r>
    </w:p>
    <w:p w:rsidR="00302407" w:rsidRPr="00F7606D" w:rsidRDefault="00302407" w:rsidP="00302407">
      <w:pPr>
        <w:pStyle w:val="31"/>
        <w:rPr>
          <w:lang w:val="en-GB"/>
        </w:rPr>
      </w:pPr>
      <w:r w:rsidRPr="00F7606D">
        <w:rPr>
          <w:lang w:val="en-GB"/>
        </w:rPr>
        <w:t xml:space="preserve">Interferon beta-1b 250 mcg SC every other day compared to Interferon beta-1a 30 mcg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3"/>
        <w:gridCol w:w="706"/>
        <w:gridCol w:w="578"/>
        <w:gridCol w:w="860"/>
        <w:gridCol w:w="777"/>
        <w:gridCol w:w="747"/>
        <w:gridCol w:w="907"/>
        <w:gridCol w:w="646"/>
        <w:gridCol w:w="646"/>
        <w:gridCol w:w="558"/>
        <w:gridCol w:w="606"/>
        <w:gridCol w:w="945"/>
        <w:gridCol w:w="723"/>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beta-1b 250 mcg SC every other day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beta-1a 30 mcg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-/126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-/126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0.71</w:t>
            </w:r>
            <w:r w:rsidRPr="00F7606D">
              <w:rPr>
                <w:rFonts w:ascii="Arial Narrow" w:hAnsi="Arial Narrow"/>
                <w:color w:val="000000"/>
                <w:sz w:val="13"/>
                <w:szCs w:val="13"/>
              </w:rPr>
              <w:br/>
            </w:r>
            <w:r w:rsidRPr="00F7606D">
              <w:rPr>
                <w:rStyle w:val="cell"/>
                <w:rFonts w:ascii="Arial Narrow" w:hAnsi="Arial Narrow"/>
                <w:color w:val="000000"/>
                <w:sz w:val="13"/>
                <w:szCs w:val="13"/>
              </w:rPr>
              <w:t>(0.53 to 0.91)</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7</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13/96 (13.5%)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28/92 (30.4%)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0.44</w:t>
            </w:r>
            <w:r w:rsidRPr="00F7606D">
              <w:rPr>
                <w:rFonts w:ascii="Arial Narrow" w:hAnsi="Arial Narrow"/>
                <w:color w:val="000000"/>
                <w:sz w:val="13"/>
                <w:szCs w:val="13"/>
              </w:rPr>
              <w:br/>
            </w:r>
            <w:r w:rsidRPr="00F7606D">
              <w:rPr>
                <w:rStyle w:val="cell"/>
                <w:rFonts w:ascii="Arial Narrow" w:hAnsi="Arial Narrow"/>
                <w:color w:val="000000"/>
                <w:sz w:val="13"/>
                <w:szCs w:val="13"/>
              </w:rPr>
              <w:t>(0.23 to 0.82)</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170 fewer per 1000 (from 55 fewer to 234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7</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8</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5/96 (5.2%)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1/92 (1.1%)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6.27</w:t>
            </w:r>
            <w:r w:rsidRPr="00F7606D">
              <w:rPr>
                <w:rFonts w:ascii="Arial Narrow" w:hAnsi="Arial Narrow"/>
                <w:color w:val="000000"/>
                <w:sz w:val="13"/>
                <w:szCs w:val="13"/>
              </w:rPr>
              <w:br/>
            </w:r>
            <w:r w:rsidRPr="00F7606D">
              <w:rPr>
                <w:rStyle w:val="cell"/>
                <w:rFonts w:ascii="Arial Narrow" w:hAnsi="Arial Narrow"/>
                <w:color w:val="000000"/>
                <w:sz w:val="13"/>
                <w:szCs w:val="13"/>
              </w:rPr>
              <w:t>(0.79 to 172.30)</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57 more per 1000 (from 2 fewer to 1000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8</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42"/>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major contributing study had no risk of bias issue</w:t>
      </w:r>
    </w:p>
    <w:p w:rsidR="00302407" w:rsidRPr="00F7606D" w:rsidRDefault="00302407" w:rsidP="004E2A63">
      <w:pPr>
        <w:numPr>
          <w:ilvl w:val="0"/>
          <w:numId w:val="42"/>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In the major contributing study patients were treatment naïve.</w:t>
      </w:r>
    </w:p>
    <w:p w:rsidR="00302407" w:rsidRPr="00F7606D" w:rsidRDefault="00302407" w:rsidP="004E2A63">
      <w:pPr>
        <w:numPr>
          <w:ilvl w:val="0"/>
          <w:numId w:val="42"/>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For continuous outcomes, a sample size of approximately 400 may not be sufficient to insure prognostic balance (ref GRADE 6 paper).</w:t>
      </w:r>
    </w:p>
    <w:p w:rsidR="00302407" w:rsidRPr="00F7606D" w:rsidRDefault="00302407" w:rsidP="004E2A63">
      <w:pPr>
        <w:numPr>
          <w:ilvl w:val="0"/>
          <w:numId w:val="42"/>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42"/>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 xml:space="preserve">Patients were treatment naïve. </w:t>
      </w:r>
    </w:p>
    <w:p w:rsidR="00302407" w:rsidRPr="00F7606D" w:rsidRDefault="00302407" w:rsidP="004E2A63">
      <w:pPr>
        <w:numPr>
          <w:ilvl w:val="0"/>
          <w:numId w:val="42"/>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42"/>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effect estimate and the confidence interval are not robust. Minor variations in number of events would change the results.</w:t>
      </w:r>
    </w:p>
    <w:p w:rsidR="00302407" w:rsidRPr="00F7606D" w:rsidRDefault="00302407" w:rsidP="004E2A63">
      <w:pPr>
        <w:numPr>
          <w:ilvl w:val="0"/>
          <w:numId w:val="42"/>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302407">
      <w:pPr>
        <w:pStyle w:val="31"/>
        <w:rPr>
          <w:lang w:val="en-GB"/>
        </w:rPr>
      </w:pPr>
      <w:r w:rsidRPr="00F7606D">
        <w:rPr>
          <w:lang w:val="en-GB"/>
        </w:rPr>
        <w:t xml:space="preserve"> Glatiramer acetate 20 mg compared to Interferon beta-1a 44 mcg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0"/>
        <w:gridCol w:w="704"/>
        <w:gridCol w:w="576"/>
        <w:gridCol w:w="856"/>
        <w:gridCol w:w="774"/>
        <w:gridCol w:w="744"/>
        <w:gridCol w:w="903"/>
        <w:gridCol w:w="680"/>
        <w:gridCol w:w="644"/>
        <w:gridCol w:w="556"/>
        <w:gridCol w:w="603"/>
        <w:gridCol w:w="942"/>
        <w:gridCol w:w="720"/>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Glatiramer acetate 20 mg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beta-1a 44 mcg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-/433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-/441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1.02</w:t>
            </w:r>
            <w:r w:rsidRPr="00F7606D">
              <w:rPr>
                <w:rFonts w:ascii="Arial Narrow" w:hAnsi="Arial Narrow"/>
                <w:color w:val="000000"/>
                <w:sz w:val="13"/>
                <w:szCs w:val="13"/>
              </w:rPr>
              <w:br/>
            </w:r>
            <w:r w:rsidRPr="00F7606D">
              <w:rPr>
                <w:rStyle w:val="cell"/>
                <w:rFonts w:ascii="Arial Narrow" w:hAnsi="Arial Narrow"/>
                <w:color w:val="000000"/>
                <w:sz w:val="13"/>
                <w:szCs w:val="13"/>
              </w:rPr>
              <w:t>(0.83 to 1.28)</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33/378 (8.7%)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45/386 (11.7%)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0.75</w:t>
            </w:r>
            <w:r w:rsidRPr="00F7606D">
              <w:rPr>
                <w:rFonts w:ascii="Arial Narrow" w:hAnsi="Arial Narrow"/>
                <w:color w:val="000000"/>
                <w:sz w:val="13"/>
                <w:szCs w:val="13"/>
              </w:rPr>
              <w:br/>
            </w:r>
            <w:r w:rsidRPr="00F7606D">
              <w:rPr>
                <w:rStyle w:val="cell"/>
                <w:rFonts w:ascii="Arial Narrow" w:hAnsi="Arial Narrow"/>
                <w:color w:val="000000"/>
                <w:sz w:val="13"/>
                <w:szCs w:val="13"/>
              </w:rPr>
              <w:t>(0.46 to 1.21)</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29 fewer per 1000 (from 24 more to 63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19/378 (5.0%)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23/386 (6.0%)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0.88</w:t>
            </w:r>
            <w:r w:rsidRPr="00F7606D">
              <w:rPr>
                <w:rFonts w:ascii="Arial Narrow" w:hAnsi="Arial Narrow"/>
                <w:color w:val="000000"/>
                <w:sz w:val="13"/>
                <w:szCs w:val="13"/>
              </w:rPr>
              <w:br/>
            </w:r>
            <w:r w:rsidRPr="00F7606D">
              <w:rPr>
                <w:rStyle w:val="cell"/>
                <w:rFonts w:ascii="Arial Narrow" w:hAnsi="Arial Narrow"/>
                <w:color w:val="000000"/>
                <w:sz w:val="13"/>
                <w:szCs w:val="13"/>
              </w:rPr>
              <w:t>(0.36 to 1.94)</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 fewer per 1000 (from 38 fewer to 56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43"/>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major contributing study had no risk of bias issue</w:t>
      </w:r>
    </w:p>
    <w:p w:rsidR="00302407" w:rsidRPr="00F7606D" w:rsidRDefault="00302407" w:rsidP="004E2A63">
      <w:pPr>
        <w:numPr>
          <w:ilvl w:val="0"/>
          <w:numId w:val="43"/>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In the major contributing study patients were treatment naïve. Treatment history was unclear in the other</w:t>
      </w:r>
    </w:p>
    <w:p w:rsidR="00302407" w:rsidRPr="00F7606D" w:rsidRDefault="00302407" w:rsidP="004E2A63">
      <w:pPr>
        <w:numPr>
          <w:ilvl w:val="0"/>
          <w:numId w:val="43"/>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4E2A63">
      <w:pPr>
        <w:numPr>
          <w:ilvl w:val="0"/>
          <w:numId w:val="43"/>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43"/>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 xml:space="preserve">Patients were treatment naïve. </w:t>
      </w:r>
    </w:p>
    <w:p w:rsidR="00302407" w:rsidRPr="00F7606D" w:rsidRDefault="00302407" w:rsidP="004E2A63">
      <w:pPr>
        <w:numPr>
          <w:ilvl w:val="0"/>
          <w:numId w:val="43"/>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302407">
      <w:pPr>
        <w:pStyle w:val="31"/>
        <w:rPr>
          <w:lang w:val="en-GB"/>
        </w:rPr>
      </w:pPr>
      <w:r w:rsidRPr="00F7606D">
        <w:rPr>
          <w:lang w:val="en-GB"/>
        </w:rPr>
        <w:t xml:space="preserve">Teriflunomide 7 mg oral compared to Interferon beta-1a 44 mcg SC t.i.w.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17"/>
        <w:gridCol w:w="698"/>
        <w:gridCol w:w="488"/>
        <w:gridCol w:w="849"/>
        <w:gridCol w:w="768"/>
        <w:gridCol w:w="738"/>
        <w:gridCol w:w="895"/>
        <w:gridCol w:w="842"/>
        <w:gridCol w:w="639"/>
        <w:gridCol w:w="552"/>
        <w:gridCol w:w="599"/>
        <w:gridCol w:w="922"/>
        <w:gridCol w:w="71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Teriflunomide 7 mg oral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beta-1a 44 mcg SC t.i.w.</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-/104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1.72</w:t>
            </w:r>
            <w:r w:rsidRPr="00F7606D">
              <w:rPr>
                <w:rFonts w:ascii="Arial Narrow" w:hAnsi="Arial Narrow"/>
                <w:color w:val="000000"/>
                <w:sz w:val="13"/>
                <w:szCs w:val="13"/>
              </w:rPr>
              <w:br/>
            </w:r>
            <w:r w:rsidRPr="00F7606D">
              <w:rPr>
                <w:rStyle w:val="cell"/>
                <w:rFonts w:ascii="Arial Narrow" w:hAnsi="Arial Narrow"/>
                <w:color w:val="000000"/>
                <w:sz w:val="13"/>
                <w:szCs w:val="13"/>
              </w:rPr>
              <w:t>(1.24 to 2.44)</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9/110 (8.2%)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22/101 (21.8%)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0.40</w:t>
            </w:r>
            <w:r w:rsidRPr="00F7606D">
              <w:rPr>
                <w:rFonts w:ascii="Arial Narrow" w:hAnsi="Arial Narrow"/>
                <w:color w:val="000000"/>
                <w:sz w:val="13"/>
                <w:szCs w:val="13"/>
              </w:rPr>
              <w:br/>
            </w:r>
            <w:r w:rsidRPr="00F7606D">
              <w:rPr>
                <w:rStyle w:val="cell"/>
                <w:rFonts w:ascii="Arial Narrow" w:hAnsi="Arial Narrow"/>
                <w:color w:val="000000"/>
                <w:sz w:val="13"/>
                <w:szCs w:val="13"/>
              </w:rPr>
              <w:t>(0.14 to 1.00)</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131 fewer per 1000 (from 0 fewer to 187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44"/>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44"/>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For continuous outcomes, a sample size of approximately 400 may not be sufficient to insure prognostic balance (ref GRADE 6 paper).</w:t>
      </w:r>
    </w:p>
    <w:p w:rsidR="00302407" w:rsidRPr="00F7606D" w:rsidRDefault="00302407" w:rsidP="004E2A63">
      <w:pPr>
        <w:numPr>
          <w:ilvl w:val="0"/>
          <w:numId w:val="44"/>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44"/>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302407">
      <w:pPr>
        <w:pStyle w:val="31"/>
        <w:rPr>
          <w:lang w:val="en-GB"/>
        </w:rPr>
      </w:pPr>
      <w:r w:rsidRPr="00F7606D">
        <w:rPr>
          <w:lang w:val="en-GB"/>
        </w:rPr>
        <w:t xml:space="preserve">Teriflunomide 14 mg oral compared to Interferon beta-1a 44 mcg SC t.i.w.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17"/>
        <w:gridCol w:w="698"/>
        <w:gridCol w:w="488"/>
        <w:gridCol w:w="849"/>
        <w:gridCol w:w="768"/>
        <w:gridCol w:w="738"/>
        <w:gridCol w:w="895"/>
        <w:gridCol w:w="842"/>
        <w:gridCol w:w="639"/>
        <w:gridCol w:w="552"/>
        <w:gridCol w:w="599"/>
        <w:gridCol w:w="922"/>
        <w:gridCol w:w="71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Teriflunomide 14 mg oral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beta-1a 44 mcg SC t.i.w.</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-/111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-/104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0.91</w:t>
            </w:r>
            <w:r w:rsidRPr="00F7606D">
              <w:rPr>
                <w:rFonts w:ascii="Arial Narrow" w:hAnsi="Arial Narrow"/>
                <w:color w:val="000000"/>
                <w:sz w:val="13"/>
                <w:szCs w:val="13"/>
              </w:rPr>
              <w:br/>
            </w:r>
            <w:r w:rsidRPr="00F7606D">
              <w:rPr>
                <w:rStyle w:val="cell"/>
                <w:rFonts w:ascii="Arial Narrow" w:hAnsi="Arial Narrow"/>
                <w:color w:val="000000"/>
                <w:sz w:val="13"/>
                <w:szCs w:val="13"/>
              </w:rPr>
              <w:t>(0.62 to 1.36)</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12/110 (10.9%)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22/101 (21.8%)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0.54</w:t>
            </w:r>
            <w:r w:rsidRPr="00F7606D">
              <w:rPr>
                <w:rFonts w:ascii="Arial Narrow" w:hAnsi="Arial Narrow"/>
                <w:color w:val="000000"/>
                <w:sz w:val="13"/>
                <w:szCs w:val="13"/>
              </w:rPr>
              <w:br/>
            </w:r>
            <w:r w:rsidRPr="00F7606D">
              <w:rPr>
                <w:rStyle w:val="cell"/>
                <w:rFonts w:ascii="Arial Narrow" w:hAnsi="Arial Narrow"/>
                <w:color w:val="000000"/>
                <w:sz w:val="13"/>
                <w:szCs w:val="13"/>
              </w:rPr>
              <w:t>(0.20 to 1.38)</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100 fewer per 1000 (from 83 more to 174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45"/>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45"/>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For continuous outcomes, a sample size of approximately 400 may not be sufficient to insure prognostic balance (ref GRADE 6 paper).</w:t>
      </w:r>
    </w:p>
    <w:p w:rsidR="00302407" w:rsidRPr="00F7606D" w:rsidRDefault="00302407" w:rsidP="004E2A63">
      <w:pPr>
        <w:numPr>
          <w:ilvl w:val="0"/>
          <w:numId w:val="45"/>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4E2A63">
      <w:pPr>
        <w:numPr>
          <w:ilvl w:val="0"/>
          <w:numId w:val="45"/>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302407">
      <w:pPr>
        <w:pStyle w:val="31"/>
        <w:rPr>
          <w:lang w:val="en-GB"/>
        </w:rPr>
      </w:pPr>
      <w:r w:rsidRPr="00F7606D">
        <w:rPr>
          <w:lang w:val="en-GB"/>
        </w:rPr>
        <w:t xml:space="preserve">Interferon beta-1b 250 mcg SC every other day compared to Interferon beta-1a 44 mcg SC t.i.w.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2"/>
        <w:gridCol w:w="705"/>
        <w:gridCol w:w="577"/>
        <w:gridCol w:w="858"/>
        <w:gridCol w:w="776"/>
        <w:gridCol w:w="746"/>
        <w:gridCol w:w="905"/>
        <w:gridCol w:w="645"/>
        <w:gridCol w:w="645"/>
        <w:gridCol w:w="557"/>
        <w:gridCol w:w="605"/>
        <w:gridCol w:w="959"/>
        <w:gridCol w:w="722"/>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beta-1b 250 mcg SC every other day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beta-1a 44 mcg SC t.i.w.</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0.81</w:t>
            </w:r>
            <w:r w:rsidRPr="00F7606D">
              <w:rPr>
                <w:rFonts w:ascii="Arial Narrow" w:hAnsi="Arial Narrow"/>
                <w:color w:val="000000"/>
                <w:sz w:val="13"/>
                <w:szCs w:val="13"/>
              </w:rPr>
              <w:br/>
            </w:r>
            <w:r w:rsidRPr="00F7606D">
              <w:rPr>
                <w:rStyle w:val="cell"/>
                <w:rFonts w:ascii="Arial Narrow" w:hAnsi="Arial Narrow"/>
                <w:color w:val="000000"/>
                <w:sz w:val="13"/>
                <w:szCs w:val="13"/>
              </w:rPr>
              <w:t>(0.46 to 1.43)</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VERY 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46"/>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Insufficient reporting for randomization, and differences in baseline characteristics between groups</w:t>
      </w:r>
    </w:p>
    <w:p w:rsidR="00302407" w:rsidRPr="00F7606D" w:rsidRDefault="00302407" w:rsidP="004E2A63">
      <w:pPr>
        <w:numPr>
          <w:ilvl w:val="0"/>
          <w:numId w:val="46"/>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46"/>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Patients' treatment history was unclear.</w:t>
      </w:r>
    </w:p>
    <w:p w:rsidR="00302407" w:rsidRPr="00F7606D" w:rsidRDefault="00302407" w:rsidP="004E2A63">
      <w:pPr>
        <w:numPr>
          <w:ilvl w:val="0"/>
          <w:numId w:val="46"/>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For continuous outcomes, a sample size of approximately 400 may not be sufficient to insure prognostic balance (ref GRADE 6 paper).</w:t>
      </w:r>
    </w:p>
    <w:p w:rsidR="00302407" w:rsidRPr="00F7606D" w:rsidRDefault="00302407" w:rsidP="004E2A63">
      <w:pPr>
        <w:numPr>
          <w:ilvl w:val="0"/>
          <w:numId w:val="46"/>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302407">
      <w:pPr>
        <w:pStyle w:val="31"/>
        <w:rPr>
          <w:lang w:val="en-GB"/>
        </w:rPr>
      </w:pPr>
      <w:r w:rsidRPr="00F7606D">
        <w:rPr>
          <w:lang w:val="en-GB"/>
        </w:rPr>
        <w:t xml:space="preserve">Dimethyl fumarate 240 mg two times daily compared to Glatiramer acetate 20 mg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494"/>
        <w:gridCol w:w="862"/>
        <w:gridCol w:w="779"/>
        <w:gridCol w:w="749"/>
        <w:gridCol w:w="909"/>
        <w:gridCol w:w="601"/>
        <w:gridCol w:w="684"/>
        <w:gridCol w:w="559"/>
        <w:gridCol w:w="692"/>
        <w:gridCol w:w="936"/>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Dimethyl fumarate 240 mg two times daily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Glatiramer acetate 20 mg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-/359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-/351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0.59</w:t>
            </w:r>
            <w:r w:rsidRPr="00F7606D">
              <w:rPr>
                <w:rFonts w:ascii="Arial Narrow" w:hAnsi="Arial Narrow"/>
                <w:color w:val="000000"/>
                <w:sz w:val="13"/>
                <w:szCs w:val="13"/>
              </w:rPr>
              <w:br/>
            </w:r>
            <w:r w:rsidRPr="00F7606D">
              <w:rPr>
                <w:rStyle w:val="cell"/>
                <w:rFonts w:ascii="Arial Narrow" w:hAnsi="Arial Narrow"/>
                <w:color w:val="000000"/>
                <w:sz w:val="13"/>
                <w:szCs w:val="13"/>
              </w:rPr>
              <w:t>(0.38 to 0.90)</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Fonts w:ascii="Arial Narrow" w:hAnsi="Arial Narrow"/>
                <w:color w:val="000000"/>
                <w:sz w:val="13"/>
                <w:szCs w:val="13"/>
              </w:rPr>
              <w:br/>
              <w:t xml:space="preserve">HIGH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47/359 (13.1%)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56/350 (16.0%)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0.78</w:t>
            </w:r>
            <w:r w:rsidRPr="00F7606D">
              <w:rPr>
                <w:rFonts w:ascii="Arial Narrow" w:hAnsi="Arial Narrow"/>
                <w:color w:val="000000"/>
                <w:sz w:val="13"/>
                <w:szCs w:val="13"/>
              </w:rPr>
              <w:br/>
            </w:r>
            <w:r w:rsidRPr="00F7606D">
              <w:rPr>
                <w:rStyle w:val="cell"/>
                <w:rFonts w:ascii="Arial Narrow" w:hAnsi="Arial Narrow"/>
                <w:color w:val="000000"/>
                <w:sz w:val="13"/>
                <w:szCs w:val="13"/>
              </w:rPr>
              <w:t>(0.52 to 1.18)</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35 fewer per 1000 (from 29 more to 77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44/359 (12.3%)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35/351 (10.0%)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1.18</w:t>
            </w:r>
            <w:r w:rsidRPr="00F7606D">
              <w:rPr>
                <w:rFonts w:ascii="Arial Narrow" w:hAnsi="Arial Narrow"/>
                <w:color w:val="000000"/>
                <w:sz w:val="13"/>
                <w:szCs w:val="13"/>
              </w:rPr>
              <w:br/>
            </w:r>
            <w:r w:rsidRPr="00F7606D">
              <w:rPr>
                <w:rStyle w:val="cell"/>
                <w:rFonts w:ascii="Arial Narrow" w:hAnsi="Arial Narrow"/>
                <w:color w:val="000000"/>
                <w:sz w:val="13"/>
                <w:szCs w:val="13"/>
              </w:rPr>
              <w:t>(0.49 to 2.84)</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18 more per 1000 (from 51 fewer to 183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47"/>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47"/>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47"/>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302407">
      <w:pPr>
        <w:pStyle w:val="31"/>
        <w:rPr>
          <w:lang w:val="en-GB"/>
        </w:rPr>
      </w:pPr>
      <w:r w:rsidRPr="00F7606D">
        <w:rPr>
          <w:lang w:val="en-GB"/>
        </w:rPr>
        <w:t xml:space="preserve">Dimethyl fumarate 240 mg three times daily compared to Glatiramer acetate 20 mg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494"/>
        <w:gridCol w:w="862"/>
        <w:gridCol w:w="779"/>
        <w:gridCol w:w="749"/>
        <w:gridCol w:w="909"/>
        <w:gridCol w:w="601"/>
        <w:gridCol w:w="684"/>
        <w:gridCol w:w="559"/>
        <w:gridCol w:w="692"/>
        <w:gridCol w:w="936"/>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Dimethyl fumarate 240 mg three times daily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Glatiramer acetate 20 mg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-/345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-/350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0.53</w:t>
            </w:r>
            <w:r w:rsidRPr="00F7606D">
              <w:rPr>
                <w:rFonts w:ascii="Arial Narrow" w:hAnsi="Arial Narrow"/>
                <w:color w:val="000000"/>
                <w:sz w:val="13"/>
                <w:szCs w:val="13"/>
              </w:rPr>
              <w:br/>
            </w:r>
            <w:r w:rsidRPr="00F7606D">
              <w:rPr>
                <w:rStyle w:val="cell"/>
                <w:rFonts w:ascii="Arial Narrow" w:hAnsi="Arial Narrow"/>
                <w:color w:val="000000"/>
                <w:sz w:val="13"/>
                <w:szCs w:val="13"/>
              </w:rPr>
              <w:t>(0.35 to 0.79)</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Fonts w:ascii="Arial Narrow" w:hAnsi="Arial Narrow"/>
                <w:color w:val="000000"/>
                <w:sz w:val="13"/>
                <w:szCs w:val="13"/>
              </w:rPr>
              <w:br/>
              <w:t xml:space="preserve">HIGH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45/345 (13.0%)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56/350 (16.0%)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0.79</w:t>
            </w:r>
            <w:r w:rsidRPr="00F7606D">
              <w:rPr>
                <w:rFonts w:ascii="Arial Narrow" w:hAnsi="Arial Narrow"/>
                <w:color w:val="000000"/>
                <w:sz w:val="13"/>
                <w:szCs w:val="13"/>
              </w:rPr>
              <w:br/>
            </w:r>
            <w:r w:rsidRPr="00F7606D">
              <w:rPr>
                <w:rStyle w:val="cell"/>
                <w:rFonts w:ascii="Arial Narrow" w:hAnsi="Arial Narrow"/>
                <w:color w:val="000000"/>
                <w:sz w:val="13"/>
                <w:szCs w:val="13"/>
              </w:rPr>
              <w:t>(0.53 to 1.16)</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34 fewer per 1000 (from 26 more to 75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41/344 (11.9%)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35/351 (10.0%)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1.15</w:t>
            </w:r>
            <w:r w:rsidRPr="00F7606D">
              <w:rPr>
                <w:rFonts w:ascii="Arial Narrow" w:hAnsi="Arial Narrow"/>
                <w:color w:val="000000"/>
                <w:sz w:val="13"/>
                <w:szCs w:val="13"/>
              </w:rPr>
              <w:br/>
            </w:r>
            <w:r w:rsidRPr="00F7606D">
              <w:rPr>
                <w:rStyle w:val="cell"/>
                <w:rFonts w:ascii="Arial Narrow" w:hAnsi="Arial Narrow"/>
                <w:color w:val="000000"/>
                <w:sz w:val="13"/>
                <w:szCs w:val="13"/>
              </w:rPr>
              <w:t>(0.52 to 2.56)</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15 more per 1000 (from 48 fewer to 156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48"/>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48"/>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4E2A63">
      <w:pPr>
        <w:numPr>
          <w:ilvl w:val="0"/>
          <w:numId w:val="48"/>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paper).The confidence interval (CI) includes both no effect, and the 25% threshold for appreciable benefit or harm. This corresponds to a CI that includes both 1.00, and 0.75 or 1.25 (ref GRADE 6 paper).</w:t>
      </w:r>
    </w:p>
    <w:p w:rsidR="00302407" w:rsidRPr="00F7606D" w:rsidRDefault="00302407" w:rsidP="00302407">
      <w:pPr>
        <w:pStyle w:val="31"/>
        <w:rPr>
          <w:lang w:val="en-GB"/>
        </w:rPr>
      </w:pPr>
      <w:r w:rsidRPr="00F7606D">
        <w:rPr>
          <w:lang w:val="en-GB"/>
        </w:rPr>
        <w:t xml:space="preserve">Interferon beta-1b 250 mcg SC every other day compared to Glatiramer acetate 20mg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494"/>
        <w:gridCol w:w="862"/>
        <w:gridCol w:w="779"/>
        <w:gridCol w:w="749"/>
        <w:gridCol w:w="909"/>
        <w:gridCol w:w="648"/>
        <w:gridCol w:w="684"/>
        <w:gridCol w:w="559"/>
        <w:gridCol w:w="633"/>
        <w:gridCol w:w="948"/>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beta-1b 250 mcg SC every other day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Glatiramer acetate 20mg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-/933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-/487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1.07</w:t>
            </w:r>
            <w:r w:rsidRPr="00F7606D">
              <w:rPr>
                <w:rFonts w:ascii="Arial Narrow" w:hAnsi="Arial Narrow"/>
                <w:color w:val="000000"/>
                <w:sz w:val="13"/>
                <w:szCs w:val="13"/>
              </w:rPr>
              <w:br/>
            </w:r>
            <w:r w:rsidRPr="00F7606D">
              <w:rPr>
                <w:rStyle w:val="cell"/>
                <w:rFonts w:ascii="Arial Narrow" w:hAnsi="Arial Narrow"/>
                <w:color w:val="000000"/>
                <w:sz w:val="13"/>
                <w:szCs w:val="13"/>
              </w:rPr>
              <w:t>(0.90 to 1.27)</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188/897 (21.0%)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90/448 (20.1%)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1.04</w:t>
            </w:r>
            <w:r w:rsidRPr="00F7606D">
              <w:rPr>
                <w:rFonts w:ascii="Arial Narrow" w:hAnsi="Arial Narrow"/>
                <w:color w:val="000000"/>
                <w:sz w:val="13"/>
                <w:szCs w:val="13"/>
              </w:rPr>
              <w:br/>
            </w:r>
            <w:r w:rsidRPr="00F7606D">
              <w:rPr>
                <w:rStyle w:val="cell"/>
                <w:rFonts w:ascii="Arial Narrow" w:hAnsi="Arial Narrow"/>
                <w:color w:val="000000"/>
                <w:sz w:val="13"/>
                <w:szCs w:val="13"/>
              </w:rPr>
              <w:t>(0.74 to 1.46)</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8 more per 1000 (from 52 fewer to 92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17/933 (1.8%)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12/487 (2.5%)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0.91</w:t>
            </w:r>
            <w:r w:rsidRPr="00F7606D">
              <w:rPr>
                <w:rFonts w:ascii="Arial Narrow" w:hAnsi="Arial Narrow"/>
                <w:color w:val="000000"/>
                <w:sz w:val="13"/>
                <w:szCs w:val="13"/>
              </w:rPr>
              <w:br/>
            </w:r>
            <w:r w:rsidRPr="00F7606D">
              <w:rPr>
                <w:rStyle w:val="cell"/>
                <w:rFonts w:ascii="Arial Narrow" w:hAnsi="Arial Narrow"/>
                <w:color w:val="000000"/>
                <w:sz w:val="13"/>
                <w:szCs w:val="13"/>
              </w:rPr>
              <w:t>(0.37 to 2.27)</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 fewer per 1000 (from 16 fewer to 31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49"/>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 xml:space="preserve">Patients were treatment naïve. </w:t>
      </w:r>
    </w:p>
    <w:p w:rsidR="00302407" w:rsidRPr="00F7606D" w:rsidRDefault="00302407" w:rsidP="004E2A63">
      <w:pPr>
        <w:numPr>
          <w:ilvl w:val="0"/>
          <w:numId w:val="49"/>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4E2A63">
      <w:pPr>
        <w:numPr>
          <w:ilvl w:val="0"/>
          <w:numId w:val="49"/>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49"/>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302407">
      <w:pPr>
        <w:pStyle w:val="31"/>
        <w:rPr>
          <w:lang w:val="en-GB"/>
        </w:rPr>
      </w:pPr>
      <w:r w:rsidRPr="00F7606D">
        <w:rPr>
          <w:lang w:val="en-GB"/>
        </w:rPr>
        <w:t xml:space="preserve">Interferon beta-1b 500 mcg SC every other day compared to Glatiramer acetate 20mg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494"/>
        <w:gridCol w:w="862"/>
        <w:gridCol w:w="779"/>
        <w:gridCol w:w="749"/>
        <w:gridCol w:w="909"/>
        <w:gridCol w:w="648"/>
        <w:gridCol w:w="684"/>
        <w:gridCol w:w="559"/>
        <w:gridCol w:w="633"/>
        <w:gridCol w:w="948"/>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beta-1b 500 mcg SC every other day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Glatiramer acetate 20mg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-/899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-/448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0.95</w:t>
            </w:r>
            <w:r w:rsidRPr="00F7606D">
              <w:rPr>
                <w:rFonts w:ascii="Arial Narrow" w:hAnsi="Arial Narrow"/>
                <w:color w:val="000000"/>
                <w:sz w:val="13"/>
                <w:szCs w:val="13"/>
              </w:rPr>
              <w:br/>
            </w:r>
            <w:r w:rsidRPr="00F7606D">
              <w:rPr>
                <w:rStyle w:val="cell"/>
                <w:rFonts w:ascii="Arial Narrow" w:hAnsi="Arial Narrow"/>
                <w:color w:val="000000"/>
                <w:sz w:val="13"/>
                <w:szCs w:val="13"/>
              </w:rPr>
              <w:t>(0.80 to 1.12)</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198/899 (22.0%)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90/448 (20.1%)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1.01</w:t>
            </w:r>
            <w:r w:rsidRPr="00F7606D">
              <w:rPr>
                <w:rFonts w:ascii="Arial Narrow" w:hAnsi="Arial Narrow"/>
                <w:color w:val="000000"/>
                <w:sz w:val="13"/>
                <w:szCs w:val="13"/>
              </w:rPr>
              <w:br/>
            </w:r>
            <w:r w:rsidRPr="00F7606D">
              <w:rPr>
                <w:rStyle w:val="cell"/>
                <w:rFonts w:ascii="Arial Narrow" w:hAnsi="Arial Narrow"/>
                <w:color w:val="000000"/>
                <w:sz w:val="13"/>
                <w:szCs w:val="13"/>
              </w:rPr>
              <w:t>(0.74 to 1.36)</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 more per 1000 (from 52 fewer to 72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20/899 (2.2%)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8/448 (1.8%)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1.16</w:t>
            </w:r>
            <w:r w:rsidRPr="00F7606D">
              <w:rPr>
                <w:rFonts w:ascii="Arial Narrow" w:hAnsi="Arial Narrow"/>
                <w:color w:val="000000"/>
                <w:sz w:val="13"/>
                <w:szCs w:val="13"/>
              </w:rPr>
              <w:br/>
            </w:r>
            <w:r w:rsidRPr="00F7606D">
              <w:rPr>
                <w:rStyle w:val="cell"/>
                <w:rFonts w:ascii="Arial Narrow" w:hAnsi="Arial Narrow"/>
                <w:color w:val="000000"/>
                <w:sz w:val="13"/>
                <w:szCs w:val="13"/>
              </w:rPr>
              <w:t>(0.46 to 3.05)</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 more per 1000 (from 10 fewer to 37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50"/>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50"/>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 xml:space="preserve">Patients were treatment naïve. </w:t>
      </w:r>
    </w:p>
    <w:p w:rsidR="00302407" w:rsidRPr="00F7606D" w:rsidRDefault="00302407" w:rsidP="004E2A63">
      <w:pPr>
        <w:numPr>
          <w:ilvl w:val="0"/>
          <w:numId w:val="50"/>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4E2A63">
      <w:pPr>
        <w:numPr>
          <w:ilvl w:val="0"/>
          <w:numId w:val="50"/>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302407">
      <w:pPr>
        <w:pStyle w:val="31"/>
        <w:rPr>
          <w:lang w:val="en-GB"/>
        </w:rPr>
      </w:pPr>
      <w:r w:rsidRPr="00F7606D">
        <w:rPr>
          <w:lang w:val="en-GB"/>
        </w:rPr>
        <w:t xml:space="preserve">Dimethyl fumarate 240 mg three times daily compared to Dimethyl fumarate 240 mg two times daily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494"/>
        <w:gridCol w:w="862"/>
        <w:gridCol w:w="779"/>
        <w:gridCol w:w="749"/>
        <w:gridCol w:w="909"/>
        <w:gridCol w:w="601"/>
        <w:gridCol w:w="601"/>
        <w:gridCol w:w="559"/>
        <w:gridCol w:w="775"/>
        <w:gridCol w:w="936"/>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Dimethyl fumarate 240 mg three times daily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Dimethyl fumarate 240 mg two times daily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-/760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-/769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1.01</w:t>
            </w:r>
            <w:r w:rsidRPr="00F7606D">
              <w:rPr>
                <w:rFonts w:ascii="Arial Narrow" w:hAnsi="Arial Narrow"/>
                <w:color w:val="000000"/>
                <w:sz w:val="13"/>
                <w:szCs w:val="13"/>
              </w:rPr>
              <w:br/>
            </w:r>
            <w:r w:rsidRPr="00F7606D">
              <w:rPr>
                <w:rStyle w:val="cell"/>
                <w:rFonts w:ascii="Arial Narrow" w:hAnsi="Arial Narrow"/>
                <w:color w:val="000000"/>
                <w:sz w:val="13"/>
                <w:szCs w:val="13"/>
              </w:rPr>
              <w:t>(0.82 to 1.23)</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120/761 (15.8%)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113/768 (14.7%)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1.06</w:t>
            </w:r>
            <w:r w:rsidRPr="00F7606D">
              <w:rPr>
                <w:rFonts w:ascii="Arial Narrow" w:hAnsi="Arial Narrow"/>
                <w:color w:val="000000"/>
                <w:sz w:val="13"/>
                <w:szCs w:val="13"/>
              </w:rPr>
              <w:br/>
            </w:r>
            <w:r w:rsidRPr="00F7606D">
              <w:rPr>
                <w:rStyle w:val="cell"/>
                <w:rFonts w:ascii="Arial Narrow" w:hAnsi="Arial Narrow"/>
                <w:color w:val="000000"/>
                <w:sz w:val="13"/>
                <w:szCs w:val="13"/>
              </w:rPr>
              <w:t>(0.78 to 1.42)</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9 more per 1000 (from 32 fewer to 62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109/760 (14.3%)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109/769 (14.2%)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1.01</w:t>
            </w:r>
            <w:r w:rsidRPr="00F7606D">
              <w:rPr>
                <w:rFonts w:ascii="Arial Narrow" w:hAnsi="Arial Narrow"/>
                <w:color w:val="000000"/>
                <w:sz w:val="13"/>
                <w:szCs w:val="13"/>
              </w:rPr>
              <w:br/>
            </w:r>
            <w:r w:rsidRPr="00F7606D">
              <w:rPr>
                <w:rStyle w:val="cell"/>
                <w:rFonts w:ascii="Arial Narrow" w:hAnsi="Arial Narrow"/>
                <w:color w:val="000000"/>
                <w:sz w:val="13"/>
                <w:szCs w:val="13"/>
              </w:rPr>
              <w:t>(0.58 to 1.73)</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 more per 1000 (from 60 fewer to 103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51"/>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4E2A63">
      <w:pPr>
        <w:numPr>
          <w:ilvl w:val="0"/>
          <w:numId w:val="51"/>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302407">
      <w:pPr>
        <w:pStyle w:val="31"/>
        <w:rPr>
          <w:lang w:val="en-GB"/>
        </w:rPr>
      </w:pPr>
      <w:r w:rsidRPr="00F7606D">
        <w:rPr>
          <w:lang w:val="en-GB"/>
        </w:rPr>
        <w:t xml:space="preserve">Teriflunomide oral 14 mg compared to Teriflunomide oral 7 mg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08"/>
        <w:gridCol w:w="683"/>
        <w:gridCol w:w="478"/>
        <w:gridCol w:w="829"/>
        <w:gridCol w:w="750"/>
        <w:gridCol w:w="721"/>
        <w:gridCol w:w="874"/>
        <w:gridCol w:w="822"/>
        <w:gridCol w:w="822"/>
        <w:gridCol w:w="540"/>
        <w:gridCol w:w="586"/>
        <w:gridCol w:w="911"/>
        <w:gridCol w:w="698"/>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Teriflunomide oral 14 mg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Teriflunomide oral 7 mg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-/935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-/912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0.86</w:t>
            </w:r>
            <w:r w:rsidRPr="00F7606D">
              <w:rPr>
                <w:rFonts w:ascii="Arial Narrow" w:hAnsi="Arial Narrow"/>
                <w:color w:val="000000"/>
                <w:sz w:val="13"/>
                <w:szCs w:val="13"/>
              </w:rPr>
              <w:br/>
            </w:r>
            <w:r w:rsidRPr="00F7606D">
              <w:rPr>
                <w:rStyle w:val="cell"/>
                <w:rFonts w:ascii="Arial Narrow" w:hAnsi="Arial Narrow"/>
                <w:color w:val="000000"/>
                <w:sz w:val="13"/>
                <w:szCs w:val="13"/>
              </w:rPr>
              <w:t>(0.74 to 1.00)</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72/358 (20.1%)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79/365 (21.6%)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0.92</w:t>
            </w:r>
            <w:r w:rsidRPr="00F7606D">
              <w:rPr>
                <w:rFonts w:ascii="Arial Narrow" w:hAnsi="Arial Narrow"/>
                <w:color w:val="000000"/>
                <w:sz w:val="13"/>
                <w:szCs w:val="13"/>
              </w:rPr>
              <w:br/>
            </w:r>
            <w:r w:rsidRPr="00F7606D">
              <w:rPr>
                <w:rStyle w:val="cell"/>
                <w:rFonts w:ascii="Arial Narrow" w:hAnsi="Arial Narrow"/>
                <w:color w:val="000000"/>
                <w:sz w:val="13"/>
                <w:szCs w:val="13"/>
              </w:rPr>
              <w:t>(0.64 to 1.35)</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17 fewer per 1000 (from 76 more to 78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112/934 (12.0%)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106/912 (11.6%)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1.12</w:t>
            </w:r>
            <w:r w:rsidRPr="00F7606D">
              <w:rPr>
                <w:rFonts w:ascii="Arial Narrow" w:hAnsi="Arial Narrow"/>
                <w:color w:val="000000"/>
                <w:sz w:val="13"/>
                <w:szCs w:val="13"/>
              </w:rPr>
              <w:br/>
            </w:r>
            <w:r w:rsidRPr="00F7606D">
              <w:rPr>
                <w:rStyle w:val="cell"/>
                <w:rFonts w:ascii="Arial Narrow" w:hAnsi="Arial Narrow"/>
                <w:color w:val="000000"/>
                <w:sz w:val="13"/>
                <w:szCs w:val="13"/>
              </w:rPr>
              <w:t>(0.73 to 1.85)</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14 more per 1000 (from 31 fewer to 99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52"/>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In the minor contributing study, patients were treatment naïve</w:t>
      </w:r>
    </w:p>
    <w:p w:rsidR="00302407" w:rsidRPr="00F7606D" w:rsidRDefault="00302407" w:rsidP="004E2A63">
      <w:pPr>
        <w:numPr>
          <w:ilvl w:val="0"/>
          <w:numId w:val="52"/>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4E2A63">
      <w:pPr>
        <w:numPr>
          <w:ilvl w:val="0"/>
          <w:numId w:val="52"/>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52"/>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302407">
      <w:pPr>
        <w:pStyle w:val="31"/>
        <w:rPr>
          <w:lang w:val="en-GB"/>
        </w:rPr>
      </w:pPr>
      <w:r w:rsidRPr="00F7606D">
        <w:rPr>
          <w:lang w:val="en-GB"/>
        </w:rPr>
        <w:t xml:space="preserve">Fingolimod oral 1.25 mg compared to Fingolomid oral 0.5 mg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18"/>
        <w:gridCol w:w="701"/>
        <w:gridCol w:w="490"/>
        <w:gridCol w:w="853"/>
        <w:gridCol w:w="771"/>
        <w:gridCol w:w="742"/>
        <w:gridCol w:w="900"/>
        <w:gridCol w:w="718"/>
        <w:gridCol w:w="718"/>
        <w:gridCol w:w="554"/>
        <w:gridCol w:w="601"/>
        <w:gridCol w:w="938"/>
        <w:gridCol w:w="718"/>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Fingolimod oral 1.25 mg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Fingolomid oral 0.5 mg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-/1273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-/1269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0.98</w:t>
            </w:r>
            <w:r w:rsidRPr="00F7606D">
              <w:rPr>
                <w:rFonts w:ascii="Arial Narrow" w:hAnsi="Arial Narrow"/>
                <w:color w:val="000000"/>
                <w:sz w:val="13"/>
                <w:szCs w:val="13"/>
              </w:rPr>
              <w:br/>
            </w:r>
            <w:r w:rsidRPr="00F7606D">
              <w:rPr>
                <w:rStyle w:val="cell"/>
                <w:rFonts w:ascii="Arial Narrow" w:hAnsi="Arial Narrow"/>
                <w:color w:val="000000"/>
                <w:sz w:val="13"/>
                <w:szCs w:val="13"/>
              </w:rPr>
              <w:t>(0.83 to 1.17)</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153/1225 (12.5%)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151/1214 (12.4%)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1.01</w:t>
            </w:r>
            <w:r w:rsidRPr="00F7606D">
              <w:rPr>
                <w:rFonts w:ascii="Arial Narrow" w:hAnsi="Arial Narrow"/>
                <w:color w:val="000000"/>
                <w:sz w:val="13"/>
                <w:szCs w:val="13"/>
              </w:rPr>
              <w:br/>
            </w:r>
            <w:r w:rsidRPr="00F7606D">
              <w:rPr>
                <w:rStyle w:val="cell"/>
                <w:rFonts w:ascii="Arial Narrow" w:hAnsi="Arial Narrow"/>
                <w:color w:val="000000"/>
                <w:sz w:val="13"/>
                <w:szCs w:val="13"/>
              </w:rPr>
              <w:t>(0.78 to 1.32)</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 more per 1000 (from 27 fewer to 40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181/1273 (14.2%)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128/1269 (10.1%)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1.43</w:t>
            </w:r>
            <w:r w:rsidRPr="00F7606D">
              <w:rPr>
                <w:rFonts w:ascii="Arial Narrow" w:hAnsi="Arial Narrow"/>
                <w:color w:val="000000"/>
                <w:sz w:val="13"/>
                <w:szCs w:val="13"/>
              </w:rPr>
              <w:br/>
            </w:r>
            <w:r w:rsidRPr="00F7606D">
              <w:rPr>
                <w:rStyle w:val="cell"/>
                <w:rFonts w:ascii="Arial Narrow" w:hAnsi="Arial Narrow"/>
                <w:color w:val="000000"/>
                <w:sz w:val="13"/>
                <w:szCs w:val="13"/>
              </w:rPr>
              <w:t>(0.94 to 2.21)</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43 more per 1000 (from 6 fewer to 122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53"/>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Some inconsistency. It may be explained by different definitions of relapse in studies</w:t>
      </w:r>
    </w:p>
    <w:p w:rsidR="00302407" w:rsidRPr="00F7606D" w:rsidRDefault="00302407" w:rsidP="004E2A63">
      <w:pPr>
        <w:numPr>
          <w:ilvl w:val="0"/>
          <w:numId w:val="53"/>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 xml:space="preserve">In the minor contributing study, patients’ treatment history was unclear. </w:t>
      </w:r>
    </w:p>
    <w:p w:rsidR="00302407" w:rsidRPr="00F7606D" w:rsidRDefault="00302407" w:rsidP="004E2A63">
      <w:pPr>
        <w:numPr>
          <w:ilvl w:val="0"/>
          <w:numId w:val="53"/>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302407">
      <w:pPr>
        <w:pStyle w:val="31"/>
        <w:rPr>
          <w:lang w:val="en-GB"/>
        </w:rPr>
      </w:pPr>
      <w:r w:rsidRPr="00F7606D">
        <w:rPr>
          <w:lang w:val="en-GB"/>
        </w:rPr>
        <w:t xml:space="preserve">Peg-interferon beta-1a 125 mcg once every four weeks compared to Peg-interferon beta-1a 125 mcg once every two weeks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494"/>
        <w:gridCol w:w="862"/>
        <w:gridCol w:w="779"/>
        <w:gridCol w:w="749"/>
        <w:gridCol w:w="909"/>
        <w:gridCol w:w="648"/>
        <w:gridCol w:w="648"/>
        <w:gridCol w:w="559"/>
        <w:gridCol w:w="681"/>
        <w:gridCol w:w="936"/>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Peg-interferon beta-1a 125 mcg once every four weeks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Peg-interferon beta-1a 125 mcg once every two weeks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-/500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-/512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1.13</w:t>
            </w:r>
            <w:r w:rsidRPr="00F7606D">
              <w:rPr>
                <w:rFonts w:ascii="Arial Narrow" w:hAnsi="Arial Narrow"/>
                <w:color w:val="000000"/>
                <w:sz w:val="13"/>
                <w:szCs w:val="13"/>
              </w:rPr>
              <w:br/>
            </w:r>
            <w:r w:rsidRPr="00F7606D">
              <w:rPr>
                <w:rStyle w:val="cell"/>
                <w:rFonts w:ascii="Arial Narrow" w:hAnsi="Arial Narrow"/>
                <w:color w:val="000000"/>
                <w:sz w:val="13"/>
                <w:szCs w:val="13"/>
              </w:rPr>
              <w:t>(0.84 to 1.52)</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31/500 (6.2%)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31/512 (6.1%)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1.02</w:t>
            </w:r>
            <w:r w:rsidRPr="00F7606D">
              <w:rPr>
                <w:rFonts w:ascii="Arial Narrow" w:hAnsi="Arial Narrow"/>
                <w:color w:val="000000"/>
                <w:sz w:val="13"/>
                <w:szCs w:val="13"/>
              </w:rPr>
              <w:br/>
            </w:r>
            <w:r w:rsidRPr="00F7606D">
              <w:rPr>
                <w:rStyle w:val="cell"/>
                <w:rFonts w:ascii="Arial Narrow" w:hAnsi="Arial Narrow"/>
                <w:color w:val="000000"/>
                <w:sz w:val="13"/>
                <w:szCs w:val="13"/>
              </w:rPr>
              <w:t>(0.61 to 1.74)</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 more per 1000 (from 24 fewer to 45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24/500 (4.8%)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25/512 (4.9%)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0.98</w:t>
            </w:r>
            <w:r w:rsidRPr="00F7606D">
              <w:rPr>
                <w:rFonts w:ascii="Arial Narrow" w:hAnsi="Arial Narrow"/>
                <w:color w:val="000000"/>
                <w:sz w:val="13"/>
                <w:szCs w:val="13"/>
              </w:rPr>
              <w:br/>
            </w:r>
            <w:r w:rsidRPr="00F7606D">
              <w:rPr>
                <w:rStyle w:val="cell"/>
                <w:rFonts w:ascii="Arial Narrow" w:hAnsi="Arial Narrow"/>
                <w:color w:val="000000"/>
                <w:sz w:val="13"/>
                <w:szCs w:val="13"/>
              </w:rPr>
              <w:t>(0.41 to 2.37)</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 fewer per 1000 (from 29 fewer to 67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54"/>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54"/>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4E2A63">
      <w:pPr>
        <w:numPr>
          <w:ilvl w:val="0"/>
          <w:numId w:val="54"/>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302407" w:rsidRPr="00F7606D" w:rsidRDefault="00302407" w:rsidP="00302407">
      <w:pPr>
        <w:pStyle w:val="31"/>
        <w:rPr>
          <w:lang w:val="en-GB"/>
        </w:rPr>
      </w:pPr>
      <w:r w:rsidRPr="00F7606D">
        <w:rPr>
          <w:lang w:val="en-GB"/>
        </w:rPr>
        <w:t xml:space="preserve">Interferon beta-1b 250 mcg SC every other day compared to Natalizumab 300 mg intravenous every 4 weeks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17"/>
        <w:gridCol w:w="698"/>
        <w:gridCol w:w="488"/>
        <w:gridCol w:w="849"/>
        <w:gridCol w:w="768"/>
        <w:gridCol w:w="738"/>
        <w:gridCol w:w="896"/>
        <w:gridCol w:w="639"/>
        <w:gridCol w:w="767"/>
        <w:gridCol w:w="599"/>
        <w:gridCol w:w="599"/>
        <w:gridCol w:w="949"/>
        <w:gridCol w:w="71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beta-1b 250 mcg SC every other day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Natalizumab 300 mg intravenous every 4 weeks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cell"/>
                <w:rFonts w:ascii="Arial Narrow" w:hAnsi="Arial Narrow"/>
                <w:color w:val="000000"/>
                <w:sz w:val="13"/>
                <w:szCs w:val="13"/>
              </w:rPr>
              <w:t>not estimable</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VERY 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55"/>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55"/>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Study included only patients treated with natalizumab randomised to continue natalizumab or to switch to interferon. Patients selected into the studies may be different from the general MS population.</w:t>
      </w:r>
    </w:p>
    <w:p w:rsidR="00302407" w:rsidRPr="00F7606D" w:rsidRDefault="00302407" w:rsidP="004E2A63">
      <w:pPr>
        <w:numPr>
          <w:ilvl w:val="0"/>
          <w:numId w:val="55"/>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 xml:space="preserve">No meaningful information was given to be able to estimate the relative risk (the RR was 1.65*10^8(4510 to 2.52*10^9) </w:t>
      </w:r>
    </w:p>
    <w:p w:rsidR="00302407" w:rsidRPr="00F7606D" w:rsidRDefault="00302407" w:rsidP="004E2A63">
      <w:pPr>
        <w:numPr>
          <w:ilvl w:val="0"/>
          <w:numId w:val="55"/>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For continuous outcomes, a sample size of approximately 400 may not be sufficient to insure prognostic balance (ref GRADE 6 paper).</w:t>
      </w:r>
    </w:p>
    <w:p w:rsidR="00302407" w:rsidRPr="00F7606D" w:rsidRDefault="00302407" w:rsidP="00302407">
      <w:pPr>
        <w:pStyle w:val="31"/>
        <w:rPr>
          <w:lang w:val="en-GB"/>
        </w:rPr>
      </w:pPr>
      <w:r w:rsidRPr="00F7606D">
        <w:rPr>
          <w:lang w:val="en-GB"/>
        </w:rPr>
        <w:t xml:space="preserve">Interferon beta-1b 500 mcg SC every other day compared to Interferon beta-1b 250 mcg SC every other day for RRMS  </w:t>
      </w:r>
    </w:p>
    <w:p w:rsidR="00302407" w:rsidRPr="00F7606D" w:rsidRDefault="00302407" w:rsidP="00302407">
      <w:pPr>
        <w:spacing w:line="140" w:lineRule="atLeast"/>
        <w:rPr>
          <w:rFonts w:ascii="Arial Narrow" w:hAnsi="Arial Narrow"/>
          <w:color w:val="000000"/>
          <w:sz w:val="14"/>
          <w:szCs w:val="14"/>
        </w:rPr>
      </w:pPr>
      <w:r w:rsidRPr="00F7606D">
        <w:rPr>
          <w:rFonts w:ascii="Arial Narrow"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4"/>
        <w:gridCol w:w="708"/>
        <w:gridCol w:w="494"/>
        <w:gridCol w:w="862"/>
        <w:gridCol w:w="779"/>
        <w:gridCol w:w="749"/>
        <w:gridCol w:w="909"/>
        <w:gridCol w:w="648"/>
        <w:gridCol w:w="648"/>
        <w:gridCol w:w="559"/>
        <w:gridCol w:w="669"/>
        <w:gridCol w:w="948"/>
        <w:gridCol w:w="725"/>
      </w:tblGrid>
      <w:tr w:rsidR="00302407" w:rsidRPr="00F7606D" w:rsidTr="0030240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Importance</w:t>
            </w:r>
          </w:p>
        </w:tc>
      </w:tr>
      <w:tr w:rsidR="00302407" w:rsidRPr="00F7606D" w:rsidTr="0030240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beta-1b 500 mcg SC every other day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Interferon beta-1b 250 mcg SC every other day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Relative</w:t>
            </w:r>
            <w:r w:rsidRPr="00F7606D">
              <w:rPr>
                <w:rFonts w:ascii="Arial Narrow" w:hAnsi="Arial Narrow"/>
                <w:b/>
                <w:bCs/>
                <w:color w:val="000000"/>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02407" w:rsidRPr="00F7606D" w:rsidRDefault="00302407" w:rsidP="00302407">
            <w:pPr>
              <w:spacing w:line="140" w:lineRule="atLeast"/>
              <w:jc w:val="center"/>
              <w:rPr>
                <w:rFonts w:ascii="Arial Narrow" w:hAnsi="Arial Narrow"/>
                <w:b/>
                <w:bCs/>
                <w:color w:val="000000"/>
                <w:sz w:val="13"/>
                <w:szCs w:val="13"/>
              </w:rPr>
            </w:pPr>
            <w:r w:rsidRPr="00F7606D">
              <w:rPr>
                <w:rFonts w:ascii="Arial Narrow" w:hAnsi="Arial Narrow"/>
                <w:b/>
                <w:bCs/>
                <w:color w:val="000000"/>
                <w:sz w:val="13"/>
                <w:szCs w:val="13"/>
              </w:rPr>
              <w:t>Absolute</w:t>
            </w:r>
            <w:r w:rsidRPr="00F7606D">
              <w:rPr>
                <w:rFonts w:ascii="Arial Narrow" w:hAnsi="Arial Narrow"/>
                <w:b/>
                <w:bCs/>
                <w:color w:val="000000"/>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407" w:rsidRPr="00F7606D" w:rsidRDefault="00302407" w:rsidP="00302407">
            <w:pPr>
              <w:rPr>
                <w:rFonts w:ascii="Arial Narrow" w:hAnsi="Arial Narrow"/>
                <w:b/>
                <w:bCs/>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Annualised relapse rate</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-/899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-/897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0.93</w:t>
            </w:r>
            <w:r w:rsidRPr="00F7606D">
              <w:rPr>
                <w:rFonts w:ascii="Arial Narrow" w:hAnsi="Arial Narrow"/>
                <w:color w:val="000000"/>
                <w:sz w:val="13"/>
                <w:szCs w:val="13"/>
              </w:rPr>
              <w:br/>
            </w:r>
            <w:r w:rsidRPr="00F7606D">
              <w:rPr>
                <w:rStyle w:val="cell"/>
                <w:rFonts w:ascii="Arial Narrow" w:hAnsi="Arial Narrow"/>
                <w:color w:val="000000"/>
                <w:sz w:val="13"/>
                <w:szCs w:val="13"/>
              </w:rPr>
              <w:t>(0.80 to 1.10)</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0 fewer per 1000 (from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F7606D"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Disease Progression</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198/899 (22.0%)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188/897 (21.0%)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1.10</w:t>
            </w:r>
            <w:r w:rsidRPr="00F7606D">
              <w:rPr>
                <w:rFonts w:ascii="Arial Narrow" w:hAnsi="Arial Narrow"/>
                <w:color w:val="000000"/>
                <w:sz w:val="13"/>
                <w:szCs w:val="13"/>
              </w:rPr>
              <w:br/>
            </w:r>
            <w:r w:rsidRPr="00F7606D">
              <w:rPr>
                <w:rStyle w:val="cell"/>
                <w:rFonts w:ascii="Arial Narrow" w:hAnsi="Arial Narrow"/>
                <w:color w:val="000000"/>
                <w:sz w:val="13"/>
                <w:szCs w:val="13"/>
              </w:rPr>
              <w:t>(0.84 to 1.51)</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21 more per 1000 (from 34 fewer to 107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MODERATE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r w:rsidR="00302407" w:rsidRPr="00D42599" w:rsidTr="0030240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302407" w:rsidRPr="00F7606D" w:rsidRDefault="00302407" w:rsidP="00302407">
            <w:pPr>
              <w:spacing w:line="140" w:lineRule="atLeast"/>
              <w:rPr>
                <w:rFonts w:ascii="Arial Narrow" w:hAnsi="Arial Narrow"/>
                <w:color w:val="000000"/>
                <w:sz w:val="13"/>
                <w:szCs w:val="13"/>
              </w:rPr>
            </w:pPr>
            <w:r w:rsidRPr="00F7606D">
              <w:rPr>
                <w:rStyle w:val="label"/>
                <w:rFonts w:ascii="Arial Narrow" w:hAnsi="Arial Narrow"/>
                <w:color w:val="000000"/>
                <w:sz w:val="13"/>
                <w:szCs w:val="13"/>
              </w:rPr>
              <w:t>Withdrawal due to adverse events</w:t>
            </w:r>
          </w:p>
        </w:tc>
      </w:tr>
      <w:tr w:rsidR="00302407" w:rsidRPr="00F7606D" w:rsidTr="00302407">
        <w:trPr>
          <w:cantSplit/>
        </w:trPr>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not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very serious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rPr>
                <w:rFonts w:ascii="Arial Narrow" w:hAnsi="Arial Narrow"/>
                <w:color w:val="000000"/>
                <w:sz w:val="13"/>
                <w:szCs w:val="13"/>
              </w:rPr>
            </w:pPr>
            <w:r w:rsidRPr="00F7606D">
              <w:rPr>
                <w:rFonts w:ascii="Arial Narrow" w:hAnsi="Arial Narrow"/>
                <w:color w:val="000000"/>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20/899 (2.2%)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13/897 (1.4%) </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block"/>
                <w:rFonts w:ascii="Arial Narrow" w:hAnsi="Arial Narrow"/>
                <w:b/>
                <w:bCs/>
                <w:color w:val="000000"/>
                <w:sz w:val="13"/>
                <w:szCs w:val="13"/>
              </w:rPr>
              <w:t>RR 1.63</w:t>
            </w:r>
            <w:r w:rsidRPr="00F7606D">
              <w:rPr>
                <w:rFonts w:ascii="Arial Narrow" w:hAnsi="Arial Narrow"/>
                <w:color w:val="000000"/>
                <w:sz w:val="13"/>
                <w:szCs w:val="13"/>
              </w:rPr>
              <w:br/>
            </w:r>
            <w:r w:rsidRPr="00F7606D">
              <w:rPr>
                <w:rStyle w:val="cell"/>
                <w:rFonts w:ascii="Arial Narrow" w:hAnsi="Arial Narrow"/>
                <w:color w:val="000000"/>
                <w:sz w:val="13"/>
                <w:szCs w:val="13"/>
              </w:rPr>
              <w:t>(0.66 to 4.11)</w:t>
            </w:r>
            <w:r w:rsidRPr="00F7606D">
              <w:rPr>
                <w:rFonts w:ascii="Arial Narrow" w:hAnsi="Arial Narrow"/>
                <w:color w:val="000000"/>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Fonts w:ascii="Arial Narrow" w:hAnsi="Arial Narrow"/>
                <w:color w:val="000000"/>
                <w:sz w:val="13"/>
                <w:szCs w:val="13"/>
              </w:rPr>
              <w:t xml:space="preserve">9 more per 1000 (from 5 fewer to 45 more) </w:t>
            </w:r>
          </w:p>
        </w:tc>
        <w:tc>
          <w:tcPr>
            <w:tcW w:w="750" w:type="dxa"/>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spacing w:line="140" w:lineRule="atLeast"/>
              <w:jc w:val="center"/>
              <w:rPr>
                <w:rFonts w:ascii="Arial Narrow" w:hAnsi="Arial Narrow"/>
                <w:color w:val="000000"/>
                <w:sz w:val="13"/>
                <w:szCs w:val="13"/>
              </w:rPr>
            </w:pPr>
            <w:r w:rsidRPr="00F7606D">
              <w:rPr>
                <w:rStyle w:val="quality-sign1"/>
                <w:rFonts w:ascii="Cambria Math" w:hAnsi="Cambria Math" w:cs="Cambria Math"/>
                <w:color w:val="000000"/>
              </w:rPr>
              <w:t>⨁⨁</w:t>
            </w:r>
            <w:r w:rsidRPr="00F7606D">
              <w:rPr>
                <w:rStyle w:val="quality-sign1"/>
                <w:rFonts w:ascii="MS Mincho" w:eastAsia="MS Mincho" w:hAnsi="MS Mincho" w:cs="MS Mincho"/>
                <w:color w:val="000000"/>
              </w:rPr>
              <w:t>◯◯</w:t>
            </w:r>
            <w:r w:rsidRPr="00F7606D">
              <w:rPr>
                <w:rFonts w:ascii="Arial Narrow" w:hAnsi="Arial Narrow"/>
                <w:color w:val="000000"/>
                <w:sz w:val="13"/>
                <w:szCs w:val="13"/>
              </w:rPr>
              <w:br/>
              <w:t xml:space="preserve">LOW </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1</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2</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3</w:t>
            </w:r>
            <w:r w:rsidRPr="00F7606D">
              <w:rPr>
                <w:rFonts w:ascii="Arial Narrow" w:hAnsi="Arial Narrow"/>
                <w:color w:val="000000"/>
                <w:sz w:val="13"/>
                <w:szCs w:val="13"/>
                <w:vertAlign w:val="superscript"/>
              </w:rPr>
              <w:t> </w:t>
            </w:r>
            <w:r w:rsidRPr="00F7606D">
              <w:rPr>
                <w:rStyle w:val="underline1"/>
                <w:rFonts w:ascii="Arial Narrow" w:hAnsi="Arial Narrow"/>
                <w:color w:val="000000"/>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302407" w:rsidRPr="00F7606D" w:rsidRDefault="00302407" w:rsidP="00302407">
            <w:pPr>
              <w:rPr>
                <w:rFonts w:ascii="Arial Narrow" w:hAnsi="Arial Narrow"/>
                <w:color w:val="000000"/>
                <w:sz w:val="13"/>
                <w:szCs w:val="13"/>
              </w:rPr>
            </w:pPr>
          </w:p>
        </w:tc>
      </w:tr>
    </w:tbl>
    <w:p w:rsidR="00302407" w:rsidRPr="00F7606D" w:rsidRDefault="00302407" w:rsidP="00302407">
      <w:pPr>
        <w:pStyle w:val="afff1"/>
        <w:spacing w:line="140" w:lineRule="atLeast"/>
        <w:rPr>
          <w:rFonts w:ascii="Arial Narrow" w:eastAsiaTheme="minorEastAsia" w:hAnsi="Arial Narrow"/>
          <w:color w:val="000000"/>
          <w:sz w:val="14"/>
          <w:szCs w:val="14"/>
          <w:lang w:val="en-GB"/>
        </w:rPr>
      </w:pPr>
      <w:r w:rsidRPr="00F7606D">
        <w:rPr>
          <w:rFonts w:ascii="Arial Narrow" w:hAnsi="Arial Narrow"/>
          <w:color w:val="000000"/>
          <w:sz w:val="14"/>
          <w:szCs w:val="14"/>
          <w:lang w:val="en-GB"/>
        </w:rPr>
        <w:t xml:space="preserve">MD – mean difference, RR – relative risk </w:t>
      </w:r>
    </w:p>
    <w:p w:rsidR="00302407" w:rsidRPr="00F7606D" w:rsidRDefault="00302407" w:rsidP="004E2A63">
      <w:pPr>
        <w:numPr>
          <w:ilvl w:val="0"/>
          <w:numId w:val="56"/>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Only one study, not possible to check for inconsistency</w:t>
      </w:r>
    </w:p>
    <w:p w:rsidR="00302407" w:rsidRPr="00F7606D" w:rsidRDefault="00302407" w:rsidP="004E2A63">
      <w:pPr>
        <w:numPr>
          <w:ilvl w:val="0"/>
          <w:numId w:val="56"/>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 xml:space="preserve">Patients were treatment naïve. </w:t>
      </w:r>
    </w:p>
    <w:p w:rsidR="00302407" w:rsidRPr="00F7606D" w:rsidRDefault="00302407" w:rsidP="004E2A63">
      <w:pPr>
        <w:numPr>
          <w:ilvl w:val="0"/>
          <w:numId w:val="56"/>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The confidence interval (CI) includes both no effect, and the 25% threshold for appreciable benefit or harm. This corresponds to a CI that includes both 1.00, and 0.75 or 1.25 (ref GRADE 6 paper)</w:t>
      </w:r>
    </w:p>
    <w:p w:rsidR="00302407" w:rsidRPr="00F7606D" w:rsidRDefault="00302407" w:rsidP="004E2A63">
      <w:pPr>
        <w:numPr>
          <w:ilvl w:val="0"/>
          <w:numId w:val="56"/>
        </w:numPr>
        <w:spacing w:before="100" w:beforeAutospacing="1" w:after="100" w:afterAutospacing="1" w:line="140" w:lineRule="atLeast"/>
        <w:rPr>
          <w:rFonts w:ascii="Arial Narrow" w:hAnsi="Arial Narrow"/>
          <w:color w:val="000000"/>
          <w:sz w:val="14"/>
          <w:szCs w:val="14"/>
        </w:rPr>
      </w:pPr>
      <w:r w:rsidRPr="00F7606D">
        <w:rPr>
          <w:rFonts w:ascii="Arial Narrow" w:hAnsi="Arial Narrow"/>
          <w:color w:val="000000"/>
          <w:sz w:val="14"/>
          <w:szCs w:val="14"/>
        </w:rPr>
        <w:t>Optimal information size (OIS) not met. For example, at least 200 events are required to meet OIS, based on a 25% relative risk reduction and control group risks of approximately 50% or greater (ref GRADE 6 paper).</w:t>
      </w:r>
    </w:p>
    <w:p w:rsidR="007F3BF7" w:rsidRDefault="007F3BF7" w:rsidP="004E2A63">
      <w:pPr>
        <w:pStyle w:val="a1"/>
        <w:numPr>
          <w:ilvl w:val="0"/>
          <w:numId w:val="0"/>
        </w:numPr>
        <w:rPr>
          <w:lang w:val="en-GB"/>
        </w:rPr>
      </w:pPr>
    </w:p>
    <w:p w:rsidR="005F5C6B" w:rsidRDefault="005F5C6B" w:rsidP="005F5C6B">
      <w:pPr>
        <w:pStyle w:val="20"/>
        <w:numPr>
          <w:ilvl w:val="0"/>
          <w:numId w:val="0"/>
        </w:numPr>
        <w:rPr>
          <w:rFonts w:ascii="Times New Roman" w:hAnsi="Times New Roman" w:cs="Times New Roman"/>
          <w:sz w:val="28"/>
        </w:rPr>
      </w:pPr>
      <w:r w:rsidRPr="001137DE">
        <w:rPr>
          <w:rFonts w:ascii="Times New Roman" w:hAnsi="Times New Roman" w:cs="Times New Roman"/>
          <w:sz w:val="28"/>
        </w:rPr>
        <w:t xml:space="preserve">Supplementary material </w:t>
      </w:r>
      <w:r w:rsidR="000D044E">
        <w:rPr>
          <w:rFonts w:ascii="Times New Roman" w:hAnsi="Times New Roman" w:cs="Times New Roman"/>
          <w:sz w:val="28"/>
        </w:rPr>
        <w:t>20</w:t>
      </w:r>
      <w:r w:rsidRPr="001137DE">
        <w:rPr>
          <w:rFonts w:ascii="Times New Roman" w:hAnsi="Times New Roman" w:cs="Times New Roman"/>
          <w:sz w:val="28"/>
        </w:rPr>
        <w:t xml:space="preserve"> </w:t>
      </w:r>
      <w:r w:rsidRPr="005F5C6B">
        <w:rPr>
          <w:rFonts w:ascii="Times New Roman" w:hAnsi="Times New Roman" w:cs="Times New Roman"/>
          <w:sz w:val="28"/>
        </w:rPr>
        <w:t>Results of the cost-effectiveness analysis (all interventions except alemtuzumab) (discounted)</w:t>
      </w:r>
      <w:r w:rsidR="00F311B5">
        <w:rPr>
          <w:rFonts w:ascii="Times New Roman" w:hAnsi="Times New Roman" w:cs="Times New Roman"/>
          <w:sz w:val="28"/>
        </w:rPr>
        <w:t xml:space="preserve"> </w:t>
      </w:r>
      <w:r w:rsidR="00F311B5" w:rsidRPr="00F311B5">
        <w:rPr>
          <w:rFonts w:ascii="Times New Roman" w:hAnsi="Times New Roman" w:cs="Times New Roman"/>
          <w:sz w:val="28"/>
          <w:vertAlign w:val="superscript"/>
        </w:rPr>
        <w:t>a</w:t>
      </w:r>
    </w:p>
    <w:tbl>
      <w:tblPr>
        <w:tblStyle w:val="afff"/>
        <w:tblpPr w:leftFromText="141" w:rightFromText="141" w:vertAnchor="text" w:horzAnchor="margin" w:tblpY="191"/>
        <w:tblW w:w="9755" w:type="dxa"/>
        <w:tblLayout w:type="fixed"/>
        <w:tblLook w:val="04A0"/>
      </w:tblPr>
      <w:tblGrid>
        <w:gridCol w:w="1534"/>
        <w:gridCol w:w="1119"/>
        <w:gridCol w:w="978"/>
        <w:gridCol w:w="1259"/>
        <w:gridCol w:w="1538"/>
        <w:gridCol w:w="1398"/>
        <w:gridCol w:w="1929"/>
      </w:tblGrid>
      <w:tr w:rsidR="00A80AD2" w:rsidRPr="000B3CD6" w:rsidTr="00F311B5">
        <w:trPr>
          <w:trHeight w:val="842"/>
        </w:trPr>
        <w:tc>
          <w:tcPr>
            <w:tcW w:w="1534" w:type="dxa"/>
            <w:vMerge w:val="restart"/>
            <w:shd w:val="clear" w:color="auto" w:fill="D9D9D9"/>
            <w:vAlign w:val="center"/>
          </w:tcPr>
          <w:p w:rsidR="00A80AD2" w:rsidRPr="000B3CD6" w:rsidRDefault="00A80AD2" w:rsidP="00A80AD2">
            <w:pPr>
              <w:rPr>
                <w:b/>
                <w:sz w:val="18"/>
                <w:szCs w:val="18"/>
                <w:lang w:val="en-GB"/>
              </w:rPr>
            </w:pPr>
            <w:r w:rsidRPr="000B3CD6">
              <w:rPr>
                <w:b/>
                <w:sz w:val="18"/>
                <w:szCs w:val="18"/>
                <w:lang w:val="en-GB"/>
              </w:rPr>
              <w:t>Drugs</w:t>
            </w:r>
          </w:p>
        </w:tc>
        <w:tc>
          <w:tcPr>
            <w:tcW w:w="1119" w:type="dxa"/>
            <w:vMerge w:val="restart"/>
            <w:shd w:val="clear" w:color="auto" w:fill="D9D9D9"/>
            <w:vAlign w:val="center"/>
            <w:hideMark/>
          </w:tcPr>
          <w:p w:rsidR="00A80AD2" w:rsidRPr="000B3CD6" w:rsidRDefault="00A80AD2" w:rsidP="00A80AD2">
            <w:pPr>
              <w:jc w:val="center"/>
              <w:rPr>
                <w:b/>
                <w:sz w:val="18"/>
                <w:szCs w:val="18"/>
                <w:lang w:val="en-GB"/>
              </w:rPr>
            </w:pPr>
            <w:r w:rsidRPr="000B3CD6">
              <w:rPr>
                <w:b/>
                <w:sz w:val="18"/>
                <w:szCs w:val="18"/>
                <w:lang w:val="en-GB"/>
              </w:rPr>
              <w:t>Total costs (EUR)</w:t>
            </w:r>
          </w:p>
        </w:tc>
        <w:tc>
          <w:tcPr>
            <w:tcW w:w="978" w:type="dxa"/>
            <w:vMerge w:val="restart"/>
            <w:shd w:val="clear" w:color="auto" w:fill="D9D9D9"/>
            <w:vAlign w:val="center"/>
            <w:hideMark/>
          </w:tcPr>
          <w:p w:rsidR="00A80AD2" w:rsidRPr="000B3CD6" w:rsidRDefault="00A80AD2" w:rsidP="00A80AD2">
            <w:pPr>
              <w:jc w:val="center"/>
              <w:rPr>
                <w:b/>
                <w:sz w:val="18"/>
                <w:szCs w:val="18"/>
                <w:lang w:val="en-GB"/>
              </w:rPr>
            </w:pPr>
            <w:r w:rsidRPr="000B3CD6">
              <w:rPr>
                <w:b/>
                <w:sz w:val="18"/>
                <w:szCs w:val="18"/>
                <w:lang w:val="en-GB"/>
              </w:rPr>
              <w:t>Effects (QALYs)</w:t>
            </w:r>
          </w:p>
        </w:tc>
        <w:tc>
          <w:tcPr>
            <w:tcW w:w="4194" w:type="dxa"/>
            <w:gridSpan w:val="3"/>
            <w:tcBorders>
              <w:bottom w:val="single" w:sz="4" w:space="0" w:color="auto"/>
            </w:tcBorders>
            <w:shd w:val="clear" w:color="auto" w:fill="D9D9D9"/>
            <w:vAlign w:val="center"/>
            <w:hideMark/>
          </w:tcPr>
          <w:p w:rsidR="00A80AD2" w:rsidRPr="000B3CD6" w:rsidRDefault="00A80AD2" w:rsidP="00A80AD2">
            <w:pPr>
              <w:jc w:val="center"/>
              <w:rPr>
                <w:b/>
                <w:sz w:val="18"/>
                <w:szCs w:val="18"/>
                <w:lang w:val="en-GB"/>
              </w:rPr>
            </w:pPr>
            <w:r w:rsidRPr="000B3CD6">
              <w:rPr>
                <w:b/>
                <w:sz w:val="18"/>
                <w:szCs w:val="18"/>
                <w:lang w:val="en-GB"/>
              </w:rPr>
              <w:t>Versus Interferon beta-1b 250 mg (Extavia)</w:t>
            </w:r>
          </w:p>
        </w:tc>
        <w:tc>
          <w:tcPr>
            <w:tcW w:w="1929" w:type="dxa"/>
            <w:vMerge w:val="restart"/>
            <w:shd w:val="clear" w:color="auto" w:fill="D9D9D9"/>
            <w:vAlign w:val="center"/>
          </w:tcPr>
          <w:p w:rsidR="00A80AD2" w:rsidRPr="000B3CD6" w:rsidRDefault="00A80AD2" w:rsidP="00A80AD2">
            <w:pPr>
              <w:jc w:val="center"/>
              <w:rPr>
                <w:b/>
                <w:sz w:val="18"/>
                <w:szCs w:val="18"/>
                <w:lang w:val="en-GB"/>
              </w:rPr>
            </w:pPr>
            <w:r w:rsidRPr="000B3CD6">
              <w:rPr>
                <w:b/>
                <w:sz w:val="18"/>
                <w:szCs w:val="18"/>
                <w:lang w:val="en-GB"/>
              </w:rPr>
              <w:t>Sequential ICER</w:t>
            </w:r>
          </w:p>
          <w:p w:rsidR="00A80AD2" w:rsidRPr="000B3CD6" w:rsidRDefault="00A80AD2" w:rsidP="00A80AD2">
            <w:pPr>
              <w:jc w:val="center"/>
              <w:rPr>
                <w:b/>
                <w:sz w:val="18"/>
                <w:szCs w:val="18"/>
                <w:lang w:val="en-GB"/>
              </w:rPr>
            </w:pPr>
            <w:r w:rsidRPr="000B3CD6">
              <w:rPr>
                <w:b/>
                <w:sz w:val="18"/>
                <w:szCs w:val="18"/>
                <w:lang w:val="en-GB"/>
              </w:rPr>
              <w:t>(EUR/QALY)</w:t>
            </w:r>
          </w:p>
        </w:tc>
      </w:tr>
      <w:tr w:rsidR="00A80AD2" w:rsidRPr="000B3CD6" w:rsidTr="00F311B5">
        <w:trPr>
          <w:trHeight w:val="671"/>
        </w:trPr>
        <w:tc>
          <w:tcPr>
            <w:tcW w:w="1534" w:type="dxa"/>
            <w:vMerge/>
            <w:shd w:val="clear" w:color="auto" w:fill="C6D9F1" w:themeFill="text2" w:themeFillTint="33"/>
            <w:vAlign w:val="center"/>
          </w:tcPr>
          <w:p w:rsidR="00A80AD2" w:rsidRPr="000B3CD6" w:rsidRDefault="00A80AD2" w:rsidP="00A80AD2">
            <w:pPr>
              <w:rPr>
                <w:b/>
                <w:sz w:val="18"/>
                <w:szCs w:val="18"/>
                <w:lang w:val="en-GB"/>
              </w:rPr>
            </w:pPr>
          </w:p>
        </w:tc>
        <w:tc>
          <w:tcPr>
            <w:tcW w:w="1119" w:type="dxa"/>
            <w:vMerge/>
            <w:tcBorders>
              <w:bottom w:val="single" w:sz="4" w:space="0" w:color="auto"/>
            </w:tcBorders>
            <w:shd w:val="clear" w:color="auto" w:fill="C6D9F1" w:themeFill="text2" w:themeFillTint="33"/>
            <w:vAlign w:val="center"/>
          </w:tcPr>
          <w:p w:rsidR="00A80AD2" w:rsidRPr="000B3CD6" w:rsidRDefault="00A80AD2" w:rsidP="00A80AD2">
            <w:pPr>
              <w:jc w:val="center"/>
              <w:rPr>
                <w:b/>
                <w:sz w:val="18"/>
                <w:szCs w:val="18"/>
                <w:lang w:val="en-GB"/>
              </w:rPr>
            </w:pPr>
          </w:p>
        </w:tc>
        <w:tc>
          <w:tcPr>
            <w:tcW w:w="978" w:type="dxa"/>
            <w:vMerge/>
            <w:tcBorders>
              <w:bottom w:val="single" w:sz="4" w:space="0" w:color="auto"/>
            </w:tcBorders>
            <w:shd w:val="clear" w:color="auto" w:fill="C6D9F1" w:themeFill="text2" w:themeFillTint="33"/>
            <w:vAlign w:val="center"/>
          </w:tcPr>
          <w:p w:rsidR="00A80AD2" w:rsidRPr="000B3CD6" w:rsidRDefault="00A80AD2" w:rsidP="00A80AD2">
            <w:pPr>
              <w:jc w:val="center"/>
              <w:rPr>
                <w:b/>
                <w:sz w:val="18"/>
                <w:szCs w:val="18"/>
                <w:lang w:val="en-GB"/>
              </w:rPr>
            </w:pPr>
          </w:p>
        </w:tc>
        <w:tc>
          <w:tcPr>
            <w:tcW w:w="1259" w:type="dxa"/>
            <w:tcBorders>
              <w:bottom w:val="single" w:sz="4" w:space="0" w:color="auto"/>
            </w:tcBorders>
            <w:shd w:val="clear" w:color="auto" w:fill="D9D9D9"/>
            <w:vAlign w:val="center"/>
          </w:tcPr>
          <w:p w:rsidR="00A80AD2" w:rsidRPr="000B3CD6" w:rsidRDefault="00A80AD2" w:rsidP="00A80AD2">
            <w:pPr>
              <w:jc w:val="center"/>
              <w:rPr>
                <w:b/>
                <w:sz w:val="18"/>
                <w:szCs w:val="18"/>
                <w:lang w:val="en-GB"/>
              </w:rPr>
            </w:pPr>
            <w:r w:rsidRPr="000B3CD6">
              <w:rPr>
                <w:b/>
                <w:sz w:val="18"/>
                <w:szCs w:val="18"/>
                <w:lang w:val="en-GB"/>
              </w:rPr>
              <w:t>Incremental cost (EUR)</w:t>
            </w:r>
          </w:p>
        </w:tc>
        <w:tc>
          <w:tcPr>
            <w:tcW w:w="1538" w:type="dxa"/>
            <w:tcBorders>
              <w:bottom w:val="single" w:sz="4" w:space="0" w:color="auto"/>
            </w:tcBorders>
            <w:shd w:val="clear" w:color="auto" w:fill="D9D9D9"/>
            <w:vAlign w:val="center"/>
          </w:tcPr>
          <w:p w:rsidR="00A80AD2" w:rsidRPr="000B3CD6" w:rsidRDefault="00A80AD2" w:rsidP="00A80AD2">
            <w:pPr>
              <w:jc w:val="center"/>
              <w:rPr>
                <w:b/>
                <w:sz w:val="18"/>
                <w:szCs w:val="18"/>
                <w:lang w:val="en-GB"/>
              </w:rPr>
            </w:pPr>
            <w:r w:rsidRPr="000B3CD6">
              <w:rPr>
                <w:b/>
                <w:sz w:val="18"/>
                <w:szCs w:val="18"/>
                <w:lang w:val="en-GB"/>
              </w:rPr>
              <w:t xml:space="preserve">  Incremental effect (QALYs)</w:t>
            </w:r>
          </w:p>
        </w:tc>
        <w:tc>
          <w:tcPr>
            <w:tcW w:w="1398" w:type="dxa"/>
            <w:shd w:val="clear" w:color="auto" w:fill="D9D9D9"/>
            <w:vAlign w:val="center"/>
          </w:tcPr>
          <w:p w:rsidR="00A80AD2" w:rsidRPr="000B3CD6" w:rsidRDefault="00A80AD2" w:rsidP="00F311B5">
            <w:pPr>
              <w:jc w:val="center"/>
              <w:rPr>
                <w:b/>
                <w:sz w:val="18"/>
                <w:szCs w:val="18"/>
                <w:lang w:val="en-GB"/>
              </w:rPr>
            </w:pPr>
            <w:r w:rsidRPr="000B3CD6">
              <w:rPr>
                <w:b/>
                <w:sz w:val="18"/>
                <w:szCs w:val="18"/>
                <w:lang w:val="en-GB"/>
              </w:rPr>
              <w:t>ICER (EU</w:t>
            </w:r>
            <w:r w:rsidR="00F311B5">
              <w:rPr>
                <w:b/>
                <w:sz w:val="18"/>
                <w:szCs w:val="18"/>
                <w:lang w:val="en-GB"/>
              </w:rPr>
              <w:t>R</w:t>
            </w:r>
            <w:r w:rsidRPr="000B3CD6">
              <w:rPr>
                <w:b/>
                <w:sz w:val="18"/>
                <w:szCs w:val="18"/>
                <w:lang w:val="en-GB"/>
              </w:rPr>
              <w:t>/QALY)</w:t>
            </w:r>
          </w:p>
        </w:tc>
        <w:tc>
          <w:tcPr>
            <w:tcW w:w="1929" w:type="dxa"/>
            <w:vMerge/>
            <w:shd w:val="clear" w:color="auto" w:fill="C6D9F1" w:themeFill="text2" w:themeFillTint="33"/>
          </w:tcPr>
          <w:p w:rsidR="00A80AD2" w:rsidRPr="000B3CD6" w:rsidRDefault="00A80AD2" w:rsidP="00A80AD2">
            <w:pPr>
              <w:jc w:val="center"/>
              <w:rPr>
                <w:b/>
                <w:sz w:val="18"/>
                <w:szCs w:val="18"/>
                <w:lang w:val="en-GB"/>
              </w:rPr>
            </w:pPr>
          </w:p>
        </w:tc>
      </w:tr>
      <w:tr w:rsidR="00A80AD2" w:rsidRPr="000B3CD6" w:rsidTr="00F311B5">
        <w:trPr>
          <w:trHeight w:val="719"/>
        </w:trPr>
        <w:tc>
          <w:tcPr>
            <w:tcW w:w="1534" w:type="dxa"/>
            <w:vAlign w:val="center"/>
          </w:tcPr>
          <w:p w:rsidR="00A80AD2" w:rsidRPr="000B3CD6" w:rsidRDefault="00A80AD2" w:rsidP="00A80AD2">
            <w:pPr>
              <w:rPr>
                <w:b/>
                <w:sz w:val="18"/>
                <w:szCs w:val="18"/>
                <w:lang w:val="en-GB"/>
              </w:rPr>
            </w:pPr>
            <w:r w:rsidRPr="000B3CD6">
              <w:rPr>
                <w:b/>
                <w:sz w:val="18"/>
                <w:szCs w:val="18"/>
                <w:lang w:val="en-GB"/>
              </w:rPr>
              <w:t xml:space="preserve">Interferon </w:t>
            </w:r>
          </w:p>
          <w:p w:rsidR="00A80AD2" w:rsidRPr="000B3CD6" w:rsidRDefault="00A80AD2" w:rsidP="00A80AD2">
            <w:pPr>
              <w:rPr>
                <w:b/>
                <w:sz w:val="18"/>
                <w:szCs w:val="18"/>
                <w:lang w:val="en-GB"/>
              </w:rPr>
            </w:pPr>
            <w:r w:rsidRPr="000B3CD6">
              <w:rPr>
                <w:b/>
                <w:sz w:val="18"/>
                <w:szCs w:val="18"/>
                <w:lang w:val="en-GB"/>
              </w:rPr>
              <w:t>beta-1b (Extavia)</w:t>
            </w:r>
          </w:p>
        </w:tc>
        <w:tc>
          <w:tcPr>
            <w:tcW w:w="1119" w:type="dxa"/>
            <w:tcBorders>
              <w:top w:val="single" w:sz="4" w:space="0" w:color="auto"/>
              <w:left w:val="nil"/>
              <w:bottom w:val="single" w:sz="4" w:space="0" w:color="auto"/>
              <w:right w:val="nil"/>
            </w:tcBorders>
            <w:shd w:val="clear" w:color="auto" w:fill="auto"/>
            <w:noWrap/>
            <w:vAlign w:val="center"/>
          </w:tcPr>
          <w:p w:rsidR="00A80AD2" w:rsidRPr="000B3CD6" w:rsidRDefault="00A80AD2" w:rsidP="00A80AD2">
            <w:pPr>
              <w:jc w:val="center"/>
              <w:rPr>
                <w:sz w:val="18"/>
                <w:szCs w:val="18"/>
                <w:lang w:val="en-GB"/>
              </w:rPr>
            </w:pPr>
            <w:r w:rsidRPr="000B3CD6">
              <w:rPr>
                <w:sz w:val="18"/>
                <w:szCs w:val="18"/>
                <w:lang w:val="en-GB"/>
              </w:rPr>
              <w:t>673,889</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AD2" w:rsidRPr="000B3CD6" w:rsidRDefault="00A80AD2" w:rsidP="00A80AD2">
            <w:pPr>
              <w:jc w:val="center"/>
              <w:rPr>
                <w:sz w:val="18"/>
                <w:szCs w:val="18"/>
                <w:lang w:val="en-GB"/>
              </w:rPr>
            </w:pPr>
            <w:r w:rsidRPr="000B3CD6">
              <w:rPr>
                <w:sz w:val="18"/>
                <w:szCs w:val="18"/>
                <w:lang w:val="en-GB"/>
              </w:rPr>
              <w:t>7.40</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AD2" w:rsidRPr="000B3CD6" w:rsidRDefault="00A80AD2" w:rsidP="00A80AD2">
            <w:pPr>
              <w:jc w:val="center"/>
              <w:rPr>
                <w:sz w:val="18"/>
                <w:szCs w:val="18"/>
                <w:lang w:val="en-GB"/>
              </w:rPr>
            </w:pPr>
          </w:p>
        </w:tc>
        <w:tc>
          <w:tcPr>
            <w:tcW w:w="1538" w:type="dxa"/>
            <w:tcBorders>
              <w:top w:val="single" w:sz="4" w:space="0" w:color="auto"/>
              <w:left w:val="single" w:sz="4" w:space="0" w:color="auto"/>
              <w:bottom w:val="single" w:sz="4" w:space="0" w:color="auto"/>
              <w:right w:val="nil"/>
            </w:tcBorders>
            <w:shd w:val="clear" w:color="auto" w:fill="auto"/>
            <w:noWrap/>
            <w:vAlign w:val="center"/>
          </w:tcPr>
          <w:p w:rsidR="00A80AD2" w:rsidRPr="000B3CD6" w:rsidRDefault="00A80AD2" w:rsidP="00A80AD2">
            <w:pPr>
              <w:jc w:val="center"/>
              <w:rPr>
                <w:sz w:val="18"/>
                <w:szCs w:val="18"/>
                <w:lang w:val="en-GB"/>
              </w:rPr>
            </w:pPr>
          </w:p>
        </w:tc>
        <w:tc>
          <w:tcPr>
            <w:tcW w:w="1398" w:type="dxa"/>
            <w:vAlign w:val="center"/>
          </w:tcPr>
          <w:p w:rsidR="00A80AD2" w:rsidRPr="000B3CD6" w:rsidRDefault="00A80AD2" w:rsidP="000B3CD6">
            <w:pPr>
              <w:jc w:val="center"/>
              <w:rPr>
                <w:sz w:val="18"/>
                <w:szCs w:val="18"/>
                <w:lang w:val="en-GB"/>
              </w:rPr>
            </w:pPr>
          </w:p>
        </w:tc>
        <w:tc>
          <w:tcPr>
            <w:tcW w:w="1929" w:type="dxa"/>
          </w:tcPr>
          <w:p w:rsidR="00A80AD2" w:rsidRPr="000B3CD6" w:rsidRDefault="00A80AD2" w:rsidP="00A80AD2">
            <w:pPr>
              <w:jc w:val="center"/>
              <w:rPr>
                <w:sz w:val="18"/>
                <w:szCs w:val="18"/>
                <w:lang w:val="en-GB"/>
              </w:rPr>
            </w:pPr>
          </w:p>
        </w:tc>
      </w:tr>
      <w:tr w:rsidR="000B3CD6" w:rsidRPr="000B3CD6" w:rsidTr="00F311B5">
        <w:trPr>
          <w:trHeight w:val="719"/>
        </w:trPr>
        <w:tc>
          <w:tcPr>
            <w:tcW w:w="1534" w:type="dxa"/>
            <w:vAlign w:val="center"/>
          </w:tcPr>
          <w:p w:rsidR="000B3CD6" w:rsidRPr="000B3CD6" w:rsidRDefault="000B3CD6" w:rsidP="00A80AD2">
            <w:pPr>
              <w:pStyle w:val="Tabelltekst"/>
              <w:rPr>
                <w:rFonts w:ascii="Times New Roman" w:hAnsi="Times New Roman"/>
                <w:b/>
                <w:sz w:val="18"/>
                <w:szCs w:val="18"/>
                <w:lang w:val="en-GB"/>
              </w:rPr>
            </w:pPr>
            <w:r w:rsidRPr="000B3CD6">
              <w:rPr>
                <w:rFonts w:ascii="Times New Roman" w:hAnsi="Times New Roman"/>
                <w:b/>
                <w:sz w:val="18"/>
                <w:szCs w:val="18"/>
                <w:lang w:val="en-GB"/>
              </w:rPr>
              <w:t xml:space="preserve">Peg-interferon </w:t>
            </w:r>
          </w:p>
          <w:p w:rsidR="000B3CD6" w:rsidRPr="000B3CD6" w:rsidRDefault="000B3CD6" w:rsidP="00A80AD2">
            <w:pPr>
              <w:rPr>
                <w:b/>
                <w:sz w:val="18"/>
                <w:szCs w:val="18"/>
                <w:lang w:val="en-GB"/>
              </w:rPr>
            </w:pPr>
            <w:r w:rsidRPr="000B3CD6">
              <w:rPr>
                <w:b/>
                <w:sz w:val="18"/>
                <w:szCs w:val="18"/>
                <w:lang w:val="en-GB"/>
              </w:rPr>
              <w:t>beta-1a</w:t>
            </w:r>
          </w:p>
          <w:p w:rsidR="000B3CD6" w:rsidRPr="000B3CD6" w:rsidRDefault="000B3CD6" w:rsidP="00A80AD2">
            <w:pPr>
              <w:rPr>
                <w:b/>
                <w:sz w:val="18"/>
                <w:szCs w:val="18"/>
                <w:lang w:val="en-GB"/>
              </w:rPr>
            </w:pPr>
            <w:r w:rsidRPr="000B3CD6">
              <w:rPr>
                <w:b/>
                <w:sz w:val="18"/>
                <w:szCs w:val="18"/>
                <w:lang w:val="en-GB"/>
              </w:rPr>
              <w:t xml:space="preserve"> (Plegridy)</w:t>
            </w:r>
          </w:p>
        </w:tc>
        <w:tc>
          <w:tcPr>
            <w:tcW w:w="1119" w:type="dxa"/>
            <w:tcBorders>
              <w:top w:val="single" w:sz="4" w:space="0" w:color="auto"/>
              <w:left w:val="nil"/>
              <w:bottom w:val="single" w:sz="4" w:space="0" w:color="auto"/>
              <w:right w:val="nil"/>
            </w:tcBorders>
            <w:shd w:val="clear" w:color="auto" w:fill="auto"/>
            <w:noWrap/>
            <w:vAlign w:val="center"/>
          </w:tcPr>
          <w:p w:rsidR="000B3CD6" w:rsidRPr="000B3CD6" w:rsidRDefault="000B3CD6" w:rsidP="00A80AD2">
            <w:pPr>
              <w:jc w:val="center"/>
              <w:rPr>
                <w:sz w:val="18"/>
                <w:szCs w:val="18"/>
                <w:lang w:val="en-GB"/>
              </w:rPr>
            </w:pPr>
            <w:r w:rsidRPr="000B3CD6">
              <w:rPr>
                <w:sz w:val="18"/>
                <w:szCs w:val="18"/>
                <w:lang w:val="en-GB"/>
              </w:rPr>
              <w:t>704,672</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CD6" w:rsidRPr="000B3CD6" w:rsidRDefault="000B3CD6" w:rsidP="00A80AD2">
            <w:pPr>
              <w:jc w:val="center"/>
              <w:rPr>
                <w:sz w:val="18"/>
                <w:szCs w:val="18"/>
                <w:lang w:val="en-GB"/>
              </w:rPr>
            </w:pPr>
            <w:r w:rsidRPr="000B3CD6">
              <w:rPr>
                <w:sz w:val="18"/>
                <w:szCs w:val="18"/>
                <w:lang w:val="en-GB"/>
              </w:rPr>
              <w:t>7.56</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CD6" w:rsidRPr="000B3CD6" w:rsidRDefault="000B3CD6" w:rsidP="00A80AD2">
            <w:pPr>
              <w:tabs>
                <w:tab w:val="clear" w:pos="510"/>
              </w:tabs>
              <w:spacing w:line="240" w:lineRule="auto"/>
              <w:jc w:val="center"/>
              <w:rPr>
                <w:sz w:val="18"/>
                <w:szCs w:val="18"/>
                <w:lang w:val="en-GB"/>
              </w:rPr>
            </w:pPr>
            <w:r w:rsidRPr="000B3CD6">
              <w:rPr>
                <w:sz w:val="18"/>
                <w:szCs w:val="18"/>
                <w:lang w:val="en-GB"/>
              </w:rPr>
              <w:t>30,783</w:t>
            </w:r>
          </w:p>
        </w:tc>
        <w:tc>
          <w:tcPr>
            <w:tcW w:w="1538" w:type="dxa"/>
            <w:tcBorders>
              <w:top w:val="single" w:sz="4" w:space="0" w:color="auto"/>
              <w:left w:val="single" w:sz="4" w:space="0" w:color="auto"/>
              <w:bottom w:val="single" w:sz="4" w:space="0" w:color="auto"/>
              <w:right w:val="nil"/>
            </w:tcBorders>
            <w:shd w:val="clear" w:color="auto" w:fill="auto"/>
            <w:noWrap/>
            <w:vAlign w:val="center"/>
          </w:tcPr>
          <w:p w:rsidR="000B3CD6" w:rsidRPr="000B3CD6" w:rsidRDefault="000B3CD6" w:rsidP="00A80AD2">
            <w:pPr>
              <w:jc w:val="center"/>
              <w:rPr>
                <w:sz w:val="18"/>
                <w:szCs w:val="18"/>
                <w:lang w:val="en-GB"/>
              </w:rPr>
            </w:pPr>
            <w:r w:rsidRPr="000B3CD6">
              <w:rPr>
                <w:sz w:val="18"/>
                <w:szCs w:val="18"/>
                <w:lang w:val="en-GB"/>
              </w:rPr>
              <w:t>0.17</w:t>
            </w:r>
          </w:p>
        </w:tc>
        <w:tc>
          <w:tcPr>
            <w:tcW w:w="1398" w:type="dxa"/>
            <w:vAlign w:val="center"/>
          </w:tcPr>
          <w:p w:rsidR="000B3CD6" w:rsidRPr="000B3CD6" w:rsidRDefault="000B3CD6" w:rsidP="000B3CD6">
            <w:pPr>
              <w:jc w:val="center"/>
              <w:rPr>
                <w:sz w:val="18"/>
                <w:szCs w:val="18"/>
              </w:rPr>
            </w:pPr>
            <w:r w:rsidRPr="000B3CD6">
              <w:rPr>
                <w:sz w:val="18"/>
                <w:szCs w:val="18"/>
              </w:rPr>
              <w:t>181,076</w:t>
            </w:r>
          </w:p>
        </w:tc>
        <w:tc>
          <w:tcPr>
            <w:tcW w:w="1929" w:type="dxa"/>
            <w:vAlign w:val="center"/>
          </w:tcPr>
          <w:p w:rsidR="000B3CD6" w:rsidRPr="000B3CD6" w:rsidRDefault="000B3CD6" w:rsidP="00A80AD2">
            <w:pPr>
              <w:tabs>
                <w:tab w:val="clear" w:pos="510"/>
              </w:tabs>
              <w:spacing w:line="240" w:lineRule="auto"/>
              <w:jc w:val="center"/>
              <w:rPr>
                <w:sz w:val="18"/>
                <w:szCs w:val="18"/>
                <w:lang w:val="en-GB"/>
              </w:rPr>
            </w:pPr>
            <w:r w:rsidRPr="000B3CD6">
              <w:rPr>
                <w:sz w:val="18"/>
                <w:szCs w:val="18"/>
              </w:rPr>
              <w:t>181,076</w:t>
            </w:r>
          </w:p>
        </w:tc>
      </w:tr>
      <w:tr w:rsidR="000B3CD6" w:rsidRPr="000B3CD6" w:rsidTr="00F311B5">
        <w:trPr>
          <w:trHeight w:val="719"/>
        </w:trPr>
        <w:tc>
          <w:tcPr>
            <w:tcW w:w="1534" w:type="dxa"/>
            <w:vAlign w:val="center"/>
          </w:tcPr>
          <w:p w:rsidR="000B3CD6" w:rsidRPr="000B3CD6" w:rsidRDefault="000B3CD6" w:rsidP="00A80AD2">
            <w:pPr>
              <w:rPr>
                <w:b/>
                <w:sz w:val="18"/>
                <w:szCs w:val="18"/>
                <w:lang w:val="en-GB"/>
              </w:rPr>
            </w:pPr>
            <w:r w:rsidRPr="000B3CD6">
              <w:rPr>
                <w:b/>
                <w:sz w:val="18"/>
                <w:szCs w:val="18"/>
                <w:lang w:val="en-GB"/>
              </w:rPr>
              <w:t>Natalizumab (Tysabri)</w:t>
            </w:r>
          </w:p>
        </w:tc>
        <w:tc>
          <w:tcPr>
            <w:tcW w:w="1119" w:type="dxa"/>
            <w:tcBorders>
              <w:top w:val="single" w:sz="4" w:space="0" w:color="auto"/>
              <w:left w:val="nil"/>
              <w:bottom w:val="single" w:sz="4" w:space="0" w:color="auto"/>
              <w:right w:val="nil"/>
            </w:tcBorders>
            <w:shd w:val="clear" w:color="auto" w:fill="auto"/>
            <w:noWrap/>
            <w:vAlign w:val="center"/>
          </w:tcPr>
          <w:p w:rsidR="000B3CD6" w:rsidRPr="000B3CD6" w:rsidRDefault="000B3CD6" w:rsidP="00A80AD2">
            <w:pPr>
              <w:jc w:val="center"/>
              <w:rPr>
                <w:sz w:val="18"/>
                <w:szCs w:val="18"/>
                <w:lang w:val="en-GB"/>
              </w:rPr>
            </w:pPr>
            <w:r w:rsidRPr="000B3CD6">
              <w:rPr>
                <w:sz w:val="18"/>
                <w:szCs w:val="18"/>
                <w:lang w:val="en-GB"/>
              </w:rPr>
              <w:t>780,168</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CD6" w:rsidRPr="000B3CD6" w:rsidRDefault="000B3CD6" w:rsidP="00A80AD2">
            <w:pPr>
              <w:jc w:val="center"/>
              <w:rPr>
                <w:sz w:val="18"/>
                <w:szCs w:val="18"/>
                <w:lang w:val="en-GB"/>
              </w:rPr>
            </w:pPr>
            <w:r w:rsidRPr="000B3CD6">
              <w:rPr>
                <w:sz w:val="18"/>
                <w:szCs w:val="18"/>
                <w:lang w:val="en-GB"/>
              </w:rPr>
              <w:t>7.63</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CD6" w:rsidRPr="000B3CD6" w:rsidRDefault="000B3CD6" w:rsidP="00A80AD2">
            <w:pPr>
              <w:tabs>
                <w:tab w:val="clear" w:pos="510"/>
              </w:tabs>
              <w:spacing w:line="240" w:lineRule="auto"/>
              <w:jc w:val="center"/>
              <w:rPr>
                <w:sz w:val="18"/>
                <w:szCs w:val="18"/>
                <w:lang w:val="en-GB"/>
              </w:rPr>
            </w:pPr>
            <w:r w:rsidRPr="000B3CD6">
              <w:rPr>
                <w:sz w:val="18"/>
                <w:szCs w:val="18"/>
                <w:lang w:val="en-GB"/>
              </w:rPr>
              <w:t>106,279</w:t>
            </w:r>
          </w:p>
        </w:tc>
        <w:tc>
          <w:tcPr>
            <w:tcW w:w="1538" w:type="dxa"/>
            <w:tcBorders>
              <w:top w:val="single" w:sz="4" w:space="0" w:color="auto"/>
              <w:left w:val="single" w:sz="4" w:space="0" w:color="auto"/>
              <w:bottom w:val="single" w:sz="4" w:space="0" w:color="auto"/>
              <w:right w:val="nil"/>
            </w:tcBorders>
            <w:shd w:val="clear" w:color="auto" w:fill="auto"/>
            <w:noWrap/>
            <w:vAlign w:val="center"/>
          </w:tcPr>
          <w:p w:rsidR="000B3CD6" w:rsidRPr="000B3CD6" w:rsidRDefault="000B3CD6" w:rsidP="00A80AD2">
            <w:pPr>
              <w:jc w:val="center"/>
              <w:rPr>
                <w:sz w:val="18"/>
                <w:szCs w:val="18"/>
                <w:lang w:val="en-GB"/>
              </w:rPr>
            </w:pPr>
            <w:r w:rsidRPr="000B3CD6">
              <w:rPr>
                <w:sz w:val="18"/>
                <w:szCs w:val="18"/>
                <w:lang w:val="en-GB"/>
              </w:rPr>
              <w:t>0.23</w:t>
            </w:r>
          </w:p>
        </w:tc>
        <w:tc>
          <w:tcPr>
            <w:tcW w:w="1398" w:type="dxa"/>
            <w:vAlign w:val="center"/>
          </w:tcPr>
          <w:p w:rsidR="000B3CD6" w:rsidRPr="000B3CD6" w:rsidRDefault="000B3CD6" w:rsidP="000B3CD6">
            <w:pPr>
              <w:jc w:val="center"/>
              <w:rPr>
                <w:sz w:val="18"/>
                <w:szCs w:val="18"/>
              </w:rPr>
            </w:pPr>
            <w:r w:rsidRPr="000B3CD6">
              <w:rPr>
                <w:sz w:val="18"/>
                <w:szCs w:val="18"/>
              </w:rPr>
              <w:t>462,083</w:t>
            </w:r>
          </w:p>
        </w:tc>
        <w:tc>
          <w:tcPr>
            <w:tcW w:w="1929" w:type="dxa"/>
            <w:vAlign w:val="center"/>
          </w:tcPr>
          <w:p w:rsidR="000B3CD6" w:rsidRPr="000B3CD6" w:rsidRDefault="0005143D" w:rsidP="00A80AD2">
            <w:pPr>
              <w:tabs>
                <w:tab w:val="clear" w:pos="510"/>
              </w:tabs>
              <w:spacing w:line="240" w:lineRule="auto"/>
              <w:jc w:val="center"/>
              <w:rPr>
                <w:sz w:val="18"/>
                <w:szCs w:val="18"/>
                <w:lang w:val="en-GB"/>
              </w:rPr>
            </w:pPr>
            <w:r>
              <w:rPr>
                <w:sz w:val="18"/>
                <w:szCs w:val="18"/>
                <w:lang w:val="en-GB"/>
              </w:rPr>
              <w:t>1,078,514</w:t>
            </w:r>
          </w:p>
        </w:tc>
      </w:tr>
      <w:tr w:rsidR="00A80AD2" w:rsidRPr="000B3CD6" w:rsidTr="00F311B5">
        <w:trPr>
          <w:trHeight w:val="288"/>
        </w:trPr>
        <w:tc>
          <w:tcPr>
            <w:tcW w:w="9754" w:type="dxa"/>
            <w:gridSpan w:val="7"/>
            <w:shd w:val="clear" w:color="auto" w:fill="D9D9D9"/>
            <w:vAlign w:val="center"/>
          </w:tcPr>
          <w:p w:rsidR="00A80AD2" w:rsidRPr="000B3CD6" w:rsidRDefault="00A80AD2" w:rsidP="00A80AD2">
            <w:pPr>
              <w:rPr>
                <w:b/>
                <w:sz w:val="18"/>
                <w:szCs w:val="18"/>
                <w:lang w:val="en-GB"/>
              </w:rPr>
            </w:pPr>
            <w:r w:rsidRPr="000B3CD6">
              <w:rPr>
                <w:b/>
                <w:sz w:val="18"/>
                <w:szCs w:val="18"/>
                <w:lang w:val="en-GB"/>
              </w:rPr>
              <w:t xml:space="preserve">Dominated </w:t>
            </w:r>
            <w:r w:rsidR="00F311B5" w:rsidRPr="000B3CD6">
              <w:rPr>
                <w:b/>
                <w:sz w:val="18"/>
                <w:szCs w:val="18"/>
                <w:lang w:val="en-GB"/>
              </w:rPr>
              <w:t>therapies</w:t>
            </w:r>
          </w:p>
        </w:tc>
      </w:tr>
      <w:tr w:rsidR="00A80AD2" w:rsidRPr="000B3CD6" w:rsidTr="00F311B5">
        <w:trPr>
          <w:trHeight w:val="719"/>
        </w:trPr>
        <w:tc>
          <w:tcPr>
            <w:tcW w:w="1534" w:type="dxa"/>
            <w:vAlign w:val="center"/>
          </w:tcPr>
          <w:p w:rsidR="00A80AD2" w:rsidRPr="000B3CD6" w:rsidRDefault="00A80AD2" w:rsidP="00A80AD2">
            <w:pPr>
              <w:rPr>
                <w:b/>
                <w:sz w:val="18"/>
                <w:szCs w:val="18"/>
                <w:lang w:val="en-GB"/>
              </w:rPr>
            </w:pPr>
            <w:r w:rsidRPr="000B3CD6">
              <w:rPr>
                <w:b/>
                <w:sz w:val="18"/>
                <w:szCs w:val="18"/>
                <w:lang w:val="en-GB"/>
              </w:rPr>
              <w:t>Interferon</w:t>
            </w:r>
          </w:p>
          <w:p w:rsidR="00A80AD2" w:rsidRPr="000B3CD6" w:rsidRDefault="00A80AD2" w:rsidP="00F311B5">
            <w:pPr>
              <w:rPr>
                <w:b/>
                <w:sz w:val="18"/>
                <w:szCs w:val="18"/>
                <w:lang w:val="en-GB"/>
              </w:rPr>
            </w:pPr>
            <w:r w:rsidRPr="000B3CD6">
              <w:rPr>
                <w:b/>
                <w:sz w:val="18"/>
                <w:szCs w:val="18"/>
                <w:lang w:val="en-GB"/>
              </w:rPr>
              <w:t xml:space="preserve">beta-1b </w:t>
            </w:r>
            <w:r w:rsidR="00F311B5">
              <w:rPr>
                <w:b/>
                <w:sz w:val="18"/>
                <w:szCs w:val="18"/>
                <w:lang w:val="en-GB"/>
              </w:rPr>
              <w:t>(</w:t>
            </w:r>
            <w:r w:rsidRPr="000B3CD6">
              <w:rPr>
                <w:b/>
                <w:sz w:val="18"/>
                <w:szCs w:val="18"/>
                <w:lang w:val="en-GB"/>
              </w:rPr>
              <w:t>Betaferon)</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A80AD2" w:rsidRPr="000B3CD6" w:rsidRDefault="00A80AD2" w:rsidP="00A80AD2">
            <w:pPr>
              <w:jc w:val="center"/>
              <w:rPr>
                <w:sz w:val="18"/>
                <w:szCs w:val="18"/>
                <w:lang w:val="en-GB"/>
              </w:rPr>
            </w:pPr>
            <w:r w:rsidRPr="000B3CD6">
              <w:rPr>
                <w:sz w:val="18"/>
                <w:szCs w:val="18"/>
                <w:lang w:val="en-GB"/>
              </w:rPr>
              <w:t>680,173</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AD2" w:rsidRPr="000B3CD6" w:rsidRDefault="00A80AD2" w:rsidP="00A80AD2">
            <w:pPr>
              <w:jc w:val="center"/>
              <w:rPr>
                <w:sz w:val="18"/>
                <w:szCs w:val="18"/>
                <w:lang w:val="en-GB"/>
              </w:rPr>
            </w:pPr>
            <w:r w:rsidRPr="000B3CD6">
              <w:rPr>
                <w:sz w:val="18"/>
                <w:szCs w:val="18"/>
                <w:lang w:val="en-GB"/>
              </w:rPr>
              <w:t>7.40</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AD2" w:rsidRPr="000B3CD6" w:rsidRDefault="000B3CD6" w:rsidP="00A80AD2">
            <w:pPr>
              <w:jc w:val="center"/>
              <w:rPr>
                <w:sz w:val="18"/>
                <w:szCs w:val="18"/>
                <w:lang w:val="en-GB"/>
              </w:rPr>
            </w:pPr>
            <w:r w:rsidRPr="000B3CD6">
              <w:rPr>
                <w:sz w:val="18"/>
                <w:szCs w:val="18"/>
                <w:lang w:val="en-GB"/>
              </w:rPr>
              <w:t>6,284</w:t>
            </w:r>
          </w:p>
        </w:tc>
        <w:tc>
          <w:tcPr>
            <w:tcW w:w="1538" w:type="dxa"/>
            <w:tcBorders>
              <w:top w:val="single" w:sz="4" w:space="0" w:color="auto"/>
              <w:left w:val="single" w:sz="4" w:space="0" w:color="auto"/>
              <w:bottom w:val="single" w:sz="4" w:space="0" w:color="auto"/>
              <w:right w:val="nil"/>
            </w:tcBorders>
            <w:shd w:val="clear" w:color="auto" w:fill="auto"/>
            <w:noWrap/>
            <w:vAlign w:val="center"/>
          </w:tcPr>
          <w:p w:rsidR="00A80AD2" w:rsidRPr="000B3CD6" w:rsidRDefault="00A80AD2" w:rsidP="00A80AD2">
            <w:pPr>
              <w:jc w:val="center"/>
              <w:rPr>
                <w:sz w:val="18"/>
                <w:szCs w:val="18"/>
                <w:lang w:val="en-GB"/>
              </w:rPr>
            </w:pPr>
            <w:r w:rsidRPr="000B3CD6">
              <w:rPr>
                <w:sz w:val="18"/>
                <w:szCs w:val="18"/>
                <w:lang w:val="en-GB"/>
              </w:rPr>
              <w:t>-</w:t>
            </w:r>
          </w:p>
        </w:tc>
        <w:tc>
          <w:tcPr>
            <w:tcW w:w="1398" w:type="dxa"/>
            <w:vAlign w:val="center"/>
          </w:tcPr>
          <w:p w:rsidR="00A80AD2" w:rsidRPr="000B3CD6" w:rsidRDefault="00A80AD2" w:rsidP="00A80AD2">
            <w:pPr>
              <w:jc w:val="center"/>
              <w:rPr>
                <w:sz w:val="18"/>
                <w:szCs w:val="18"/>
                <w:lang w:val="en-GB"/>
              </w:rPr>
            </w:pPr>
            <w:r w:rsidRPr="000B3CD6">
              <w:rPr>
                <w:sz w:val="18"/>
                <w:szCs w:val="18"/>
                <w:lang w:val="en-GB"/>
              </w:rPr>
              <w:t>Dominated by interferon beta-1b (Extavia)</w:t>
            </w:r>
          </w:p>
        </w:tc>
        <w:tc>
          <w:tcPr>
            <w:tcW w:w="1929" w:type="dxa"/>
            <w:vAlign w:val="center"/>
          </w:tcPr>
          <w:p w:rsidR="00A80AD2" w:rsidRPr="000B3CD6" w:rsidRDefault="00A80AD2" w:rsidP="00A80AD2">
            <w:pPr>
              <w:rPr>
                <w:sz w:val="18"/>
                <w:szCs w:val="18"/>
                <w:lang w:val="en-GB"/>
              </w:rPr>
            </w:pPr>
            <w:r w:rsidRPr="000B3CD6">
              <w:rPr>
                <w:sz w:val="18"/>
                <w:szCs w:val="18"/>
                <w:lang w:val="en-GB"/>
              </w:rPr>
              <w:t>Dominated by interferon beta-1b (Extavia)</w:t>
            </w:r>
          </w:p>
        </w:tc>
      </w:tr>
      <w:tr w:rsidR="00A80AD2" w:rsidRPr="000B3CD6" w:rsidTr="00F311B5">
        <w:trPr>
          <w:trHeight w:val="719"/>
        </w:trPr>
        <w:tc>
          <w:tcPr>
            <w:tcW w:w="1534" w:type="dxa"/>
            <w:vAlign w:val="center"/>
          </w:tcPr>
          <w:p w:rsidR="00A80AD2" w:rsidRPr="000B3CD6" w:rsidRDefault="00A80AD2" w:rsidP="00F311B5">
            <w:pPr>
              <w:rPr>
                <w:b/>
                <w:sz w:val="18"/>
                <w:szCs w:val="18"/>
                <w:lang w:val="en-GB"/>
              </w:rPr>
            </w:pPr>
            <w:r w:rsidRPr="000B3CD6">
              <w:rPr>
                <w:b/>
                <w:sz w:val="18"/>
                <w:szCs w:val="18"/>
                <w:lang w:val="en-GB"/>
              </w:rPr>
              <w:t xml:space="preserve">Glatiramer acetate 20 mg (Copaxone) </w:t>
            </w:r>
            <w:r w:rsidRPr="00E23E2B">
              <w:rPr>
                <w:rFonts w:asciiTheme="minorHAnsi" w:hAnsiTheme="minorHAnsi"/>
                <w:b/>
                <w:sz w:val="18"/>
                <w:szCs w:val="18"/>
                <w:vertAlign w:val="superscript"/>
              </w:rPr>
              <w:t>b</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A80AD2" w:rsidRPr="000B3CD6" w:rsidRDefault="00A80AD2" w:rsidP="00A80AD2">
            <w:pPr>
              <w:jc w:val="center"/>
              <w:rPr>
                <w:sz w:val="18"/>
                <w:szCs w:val="18"/>
                <w:lang w:val="en-GB"/>
              </w:rPr>
            </w:pPr>
            <w:r w:rsidRPr="000B3CD6">
              <w:rPr>
                <w:sz w:val="18"/>
                <w:szCs w:val="18"/>
                <w:lang w:val="en-GB"/>
              </w:rPr>
              <w:t>698,765</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AD2" w:rsidRPr="000B3CD6" w:rsidRDefault="00A80AD2" w:rsidP="00A80AD2">
            <w:pPr>
              <w:jc w:val="center"/>
              <w:rPr>
                <w:sz w:val="18"/>
                <w:szCs w:val="18"/>
                <w:lang w:val="en-GB"/>
              </w:rPr>
            </w:pPr>
            <w:r w:rsidRPr="000B3CD6">
              <w:rPr>
                <w:sz w:val="18"/>
                <w:szCs w:val="18"/>
                <w:lang w:val="en-GB"/>
              </w:rPr>
              <w:t>7.31</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AD2" w:rsidRPr="000B3CD6" w:rsidRDefault="000B3CD6" w:rsidP="00A80AD2">
            <w:pPr>
              <w:jc w:val="center"/>
              <w:rPr>
                <w:sz w:val="18"/>
                <w:szCs w:val="18"/>
                <w:lang w:val="en-GB"/>
              </w:rPr>
            </w:pPr>
            <w:r w:rsidRPr="000B3CD6">
              <w:rPr>
                <w:sz w:val="18"/>
                <w:szCs w:val="18"/>
                <w:lang w:val="en-GB"/>
              </w:rPr>
              <w:t>24,876</w:t>
            </w:r>
          </w:p>
        </w:tc>
        <w:tc>
          <w:tcPr>
            <w:tcW w:w="1538" w:type="dxa"/>
            <w:tcBorders>
              <w:top w:val="single" w:sz="4" w:space="0" w:color="auto"/>
              <w:left w:val="single" w:sz="4" w:space="0" w:color="auto"/>
              <w:bottom w:val="single" w:sz="4" w:space="0" w:color="auto"/>
              <w:right w:val="nil"/>
            </w:tcBorders>
            <w:shd w:val="clear" w:color="auto" w:fill="auto"/>
            <w:noWrap/>
            <w:vAlign w:val="center"/>
          </w:tcPr>
          <w:p w:rsidR="00A80AD2" w:rsidRPr="000B3CD6" w:rsidRDefault="00A80AD2" w:rsidP="00A80AD2">
            <w:pPr>
              <w:jc w:val="center"/>
              <w:rPr>
                <w:sz w:val="18"/>
                <w:szCs w:val="18"/>
                <w:lang w:val="en-GB"/>
              </w:rPr>
            </w:pPr>
            <w:r w:rsidRPr="000B3CD6">
              <w:rPr>
                <w:sz w:val="18"/>
                <w:szCs w:val="18"/>
                <w:lang w:val="en-GB"/>
              </w:rPr>
              <w:t>-0.09</w:t>
            </w:r>
          </w:p>
        </w:tc>
        <w:tc>
          <w:tcPr>
            <w:tcW w:w="1398" w:type="dxa"/>
            <w:vAlign w:val="center"/>
          </w:tcPr>
          <w:p w:rsidR="00A80AD2" w:rsidRPr="000B3CD6" w:rsidRDefault="00A80AD2" w:rsidP="00A80AD2">
            <w:pPr>
              <w:jc w:val="center"/>
              <w:rPr>
                <w:sz w:val="18"/>
                <w:szCs w:val="18"/>
                <w:lang w:val="en-GB"/>
              </w:rPr>
            </w:pPr>
            <w:r w:rsidRPr="000B3CD6">
              <w:rPr>
                <w:sz w:val="18"/>
                <w:szCs w:val="18"/>
                <w:lang w:val="en-GB"/>
              </w:rPr>
              <w:t xml:space="preserve">Dominated </w:t>
            </w:r>
          </w:p>
        </w:tc>
        <w:tc>
          <w:tcPr>
            <w:tcW w:w="1929" w:type="dxa"/>
            <w:vAlign w:val="center"/>
          </w:tcPr>
          <w:p w:rsidR="00A80AD2" w:rsidRPr="000B3CD6" w:rsidRDefault="00A80AD2" w:rsidP="00A80AD2">
            <w:pPr>
              <w:rPr>
                <w:sz w:val="18"/>
                <w:szCs w:val="18"/>
                <w:lang w:val="en-GB"/>
              </w:rPr>
            </w:pPr>
            <w:r w:rsidRPr="000B3CD6">
              <w:rPr>
                <w:sz w:val="18"/>
                <w:szCs w:val="18"/>
                <w:lang w:val="en-GB"/>
              </w:rPr>
              <w:t>Dominated by interferon beta-1b (Extavia) and interferon beta-1b (Betaferon)</w:t>
            </w:r>
          </w:p>
        </w:tc>
      </w:tr>
      <w:tr w:rsidR="00A80AD2" w:rsidRPr="000B3CD6" w:rsidTr="00F311B5">
        <w:trPr>
          <w:trHeight w:val="875"/>
        </w:trPr>
        <w:tc>
          <w:tcPr>
            <w:tcW w:w="1534" w:type="dxa"/>
            <w:vAlign w:val="center"/>
          </w:tcPr>
          <w:p w:rsidR="00A80AD2" w:rsidRPr="000B3CD6" w:rsidRDefault="00A80AD2" w:rsidP="00A80AD2">
            <w:pPr>
              <w:rPr>
                <w:b/>
                <w:sz w:val="18"/>
                <w:szCs w:val="18"/>
                <w:lang w:val="en-GB"/>
              </w:rPr>
            </w:pPr>
            <w:r w:rsidRPr="000B3CD6">
              <w:rPr>
                <w:b/>
                <w:sz w:val="18"/>
                <w:szCs w:val="18"/>
                <w:lang w:val="en-GB"/>
              </w:rPr>
              <w:t>Teriflunomide (Aubagio)</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A80AD2" w:rsidRPr="000B3CD6" w:rsidRDefault="00A80AD2" w:rsidP="00A80AD2">
            <w:pPr>
              <w:tabs>
                <w:tab w:val="clear" w:pos="510"/>
              </w:tabs>
              <w:spacing w:line="240" w:lineRule="auto"/>
              <w:jc w:val="center"/>
              <w:rPr>
                <w:sz w:val="18"/>
                <w:szCs w:val="18"/>
                <w:lang w:val="en-GB"/>
              </w:rPr>
            </w:pPr>
            <w:r w:rsidRPr="000B3CD6">
              <w:rPr>
                <w:sz w:val="18"/>
                <w:szCs w:val="18"/>
                <w:lang w:val="en-GB"/>
              </w:rPr>
              <w:t>707,298</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AD2" w:rsidRPr="000B3CD6" w:rsidRDefault="00A80AD2" w:rsidP="00A80AD2">
            <w:pPr>
              <w:jc w:val="center"/>
              <w:rPr>
                <w:sz w:val="18"/>
                <w:szCs w:val="18"/>
                <w:lang w:val="en-GB"/>
              </w:rPr>
            </w:pPr>
            <w:r w:rsidRPr="000B3CD6">
              <w:rPr>
                <w:sz w:val="18"/>
                <w:szCs w:val="18"/>
                <w:lang w:val="en-GB"/>
              </w:rPr>
              <w:t>7.38</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AD2" w:rsidRPr="000B3CD6" w:rsidRDefault="00A80AD2" w:rsidP="000B3CD6">
            <w:pPr>
              <w:tabs>
                <w:tab w:val="clear" w:pos="510"/>
              </w:tabs>
              <w:spacing w:line="240" w:lineRule="auto"/>
              <w:jc w:val="center"/>
              <w:rPr>
                <w:sz w:val="18"/>
                <w:szCs w:val="18"/>
                <w:lang w:val="en-GB"/>
              </w:rPr>
            </w:pPr>
            <w:r w:rsidRPr="000B3CD6">
              <w:rPr>
                <w:sz w:val="18"/>
                <w:szCs w:val="18"/>
                <w:lang w:val="en-GB"/>
              </w:rPr>
              <w:t>33,4</w:t>
            </w:r>
            <w:r w:rsidR="000B3CD6" w:rsidRPr="000B3CD6">
              <w:rPr>
                <w:sz w:val="18"/>
                <w:szCs w:val="18"/>
                <w:lang w:val="en-GB"/>
              </w:rPr>
              <w:t>09</w:t>
            </w:r>
          </w:p>
        </w:tc>
        <w:tc>
          <w:tcPr>
            <w:tcW w:w="1538" w:type="dxa"/>
            <w:tcBorders>
              <w:top w:val="single" w:sz="4" w:space="0" w:color="auto"/>
              <w:left w:val="single" w:sz="4" w:space="0" w:color="auto"/>
              <w:bottom w:val="single" w:sz="4" w:space="0" w:color="auto"/>
              <w:right w:val="nil"/>
            </w:tcBorders>
            <w:shd w:val="clear" w:color="auto" w:fill="auto"/>
            <w:noWrap/>
            <w:vAlign w:val="center"/>
          </w:tcPr>
          <w:p w:rsidR="00A80AD2" w:rsidRPr="000B3CD6" w:rsidRDefault="00A80AD2" w:rsidP="00A80AD2">
            <w:pPr>
              <w:jc w:val="center"/>
              <w:rPr>
                <w:sz w:val="18"/>
                <w:szCs w:val="18"/>
                <w:lang w:val="en-GB"/>
              </w:rPr>
            </w:pPr>
            <w:r w:rsidRPr="000B3CD6">
              <w:rPr>
                <w:sz w:val="18"/>
                <w:szCs w:val="18"/>
                <w:lang w:val="en-GB"/>
              </w:rPr>
              <w:t>-0.02</w:t>
            </w:r>
          </w:p>
        </w:tc>
        <w:tc>
          <w:tcPr>
            <w:tcW w:w="1398" w:type="dxa"/>
            <w:vAlign w:val="center"/>
          </w:tcPr>
          <w:p w:rsidR="00A80AD2" w:rsidRPr="000B3CD6" w:rsidRDefault="00A80AD2" w:rsidP="00A80AD2">
            <w:pPr>
              <w:jc w:val="center"/>
              <w:rPr>
                <w:sz w:val="18"/>
                <w:szCs w:val="18"/>
                <w:lang w:val="en-GB"/>
              </w:rPr>
            </w:pPr>
            <w:r w:rsidRPr="000B3CD6">
              <w:rPr>
                <w:sz w:val="18"/>
                <w:szCs w:val="18"/>
                <w:lang w:val="en-GB"/>
              </w:rPr>
              <w:t>Dominated</w:t>
            </w:r>
          </w:p>
        </w:tc>
        <w:tc>
          <w:tcPr>
            <w:tcW w:w="1929" w:type="dxa"/>
            <w:vAlign w:val="center"/>
          </w:tcPr>
          <w:p w:rsidR="00A80AD2" w:rsidRPr="000B3CD6" w:rsidRDefault="00A80AD2" w:rsidP="00A80AD2">
            <w:pPr>
              <w:rPr>
                <w:sz w:val="18"/>
                <w:szCs w:val="18"/>
                <w:lang w:val="en-GB"/>
              </w:rPr>
            </w:pPr>
            <w:r w:rsidRPr="000B3CD6">
              <w:rPr>
                <w:sz w:val="18"/>
                <w:szCs w:val="18"/>
                <w:lang w:val="en-GB"/>
              </w:rPr>
              <w:t>Dominated by interferon beta-1b (Extavia), interferon beta-1b (Betaferon) and peg-interferon beta-1a</w:t>
            </w:r>
          </w:p>
        </w:tc>
      </w:tr>
      <w:tr w:rsidR="00A80AD2" w:rsidRPr="000B3CD6" w:rsidTr="00F311B5">
        <w:trPr>
          <w:trHeight w:val="682"/>
        </w:trPr>
        <w:tc>
          <w:tcPr>
            <w:tcW w:w="1534" w:type="dxa"/>
            <w:vAlign w:val="center"/>
          </w:tcPr>
          <w:p w:rsidR="00A80AD2" w:rsidRPr="000B3CD6" w:rsidRDefault="00A80AD2" w:rsidP="00A80AD2">
            <w:pPr>
              <w:rPr>
                <w:b/>
                <w:sz w:val="18"/>
                <w:szCs w:val="18"/>
                <w:lang w:val="en-GB"/>
              </w:rPr>
            </w:pPr>
            <w:r w:rsidRPr="000B3CD6">
              <w:rPr>
                <w:b/>
                <w:sz w:val="18"/>
                <w:szCs w:val="18"/>
                <w:lang w:val="en-GB"/>
              </w:rPr>
              <w:t xml:space="preserve">Interferon </w:t>
            </w:r>
          </w:p>
          <w:p w:rsidR="00A80AD2" w:rsidRPr="000B3CD6" w:rsidRDefault="00A80AD2" w:rsidP="00A80AD2">
            <w:pPr>
              <w:rPr>
                <w:b/>
                <w:sz w:val="18"/>
                <w:szCs w:val="18"/>
                <w:lang w:val="en-GB"/>
              </w:rPr>
            </w:pPr>
            <w:r w:rsidRPr="000B3CD6">
              <w:rPr>
                <w:b/>
                <w:sz w:val="18"/>
                <w:szCs w:val="18"/>
                <w:lang w:val="en-GB"/>
              </w:rPr>
              <w:t>beta-1a  22 mcg (Rebif)</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A80AD2" w:rsidRPr="000B3CD6" w:rsidRDefault="00A80AD2" w:rsidP="00A80AD2">
            <w:pPr>
              <w:jc w:val="center"/>
              <w:rPr>
                <w:sz w:val="18"/>
                <w:szCs w:val="18"/>
                <w:lang w:val="en-GB"/>
              </w:rPr>
            </w:pPr>
            <w:r w:rsidRPr="000B3CD6">
              <w:rPr>
                <w:sz w:val="18"/>
                <w:szCs w:val="18"/>
                <w:lang w:val="en-GB"/>
              </w:rPr>
              <w:t>725,760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AD2" w:rsidRPr="000B3CD6" w:rsidRDefault="00A80AD2" w:rsidP="00A80AD2">
            <w:pPr>
              <w:jc w:val="center"/>
              <w:rPr>
                <w:sz w:val="18"/>
                <w:szCs w:val="18"/>
                <w:lang w:val="en-GB"/>
              </w:rPr>
            </w:pPr>
            <w:r w:rsidRPr="000B3CD6">
              <w:rPr>
                <w:sz w:val="18"/>
                <w:szCs w:val="18"/>
                <w:lang w:val="en-GB"/>
              </w:rPr>
              <w:t>7.21</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AD2" w:rsidRPr="000B3CD6" w:rsidRDefault="00A80AD2" w:rsidP="00A80AD2">
            <w:pPr>
              <w:jc w:val="center"/>
              <w:rPr>
                <w:sz w:val="18"/>
                <w:szCs w:val="18"/>
                <w:lang w:val="en-GB"/>
              </w:rPr>
            </w:pPr>
            <w:r w:rsidRPr="000B3CD6">
              <w:rPr>
                <w:sz w:val="18"/>
                <w:szCs w:val="18"/>
                <w:lang w:val="en-GB"/>
              </w:rPr>
              <w:t>51,871</w:t>
            </w:r>
          </w:p>
        </w:tc>
        <w:tc>
          <w:tcPr>
            <w:tcW w:w="1538" w:type="dxa"/>
            <w:tcBorders>
              <w:top w:val="single" w:sz="4" w:space="0" w:color="auto"/>
              <w:left w:val="single" w:sz="4" w:space="0" w:color="auto"/>
              <w:bottom w:val="single" w:sz="4" w:space="0" w:color="auto"/>
              <w:right w:val="nil"/>
            </w:tcBorders>
            <w:shd w:val="clear" w:color="auto" w:fill="auto"/>
            <w:noWrap/>
            <w:vAlign w:val="center"/>
          </w:tcPr>
          <w:p w:rsidR="00A80AD2" w:rsidRPr="000B3CD6" w:rsidRDefault="00A80AD2" w:rsidP="00A80AD2">
            <w:pPr>
              <w:jc w:val="center"/>
              <w:rPr>
                <w:sz w:val="18"/>
                <w:szCs w:val="18"/>
                <w:lang w:val="en-GB"/>
              </w:rPr>
            </w:pPr>
            <w:r w:rsidRPr="000B3CD6">
              <w:rPr>
                <w:sz w:val="18"/>
                <w:szCs w:val="18"/>
                <w:lang w:val="en-GB"/>
              </w:rPr>
              <w:t>-0.19</w:t>
            </w:r>
          </w:p>
        </w:tc>
        <w:tc>
          <w:tcPr>
            <w:tcW w:w="1398" w:type="dxa"/>
            <w:vAlign w:val="center"/>
          </w:tcPr>
          <w:p w:rsidR="00A80AD2" w:rsidRPr="000B3CD6" w:rsidRDefault="00A80AD2" w:rsidP="00A80AD2">
            <w:pPr>
              <w:jc w:val="center"/>
              <w:rPr>
                <w:sz w:val="18"/>
                <w:szCs w:val="18"/>
                <w:lang w:val="en-GB"/>
              </w:rPr>
            </w:pPr>
            <w:r w:rsidRPr="000B3CD6">
              <w:rPr>
                <w:sz w:val="18"/>
                <w:szCs w:val="18"/>
                <w:lang w:val="en-GB"/>
              </w:rPr>
              <w:t>Dominated</w:t>
            </w:r>
          </w:p>
        </w:tc>
        <w:tc>
          <w:tcPr>
            <w:tcW w:w="1929" w:type="dxa"/>
            <w:vAlign w:val="center"/>
          </w:tcPr>
          <w:p w:rsidR="00A80AD2" w:rsidRPr="000B3CD6" w:rsidRDefault="00A80AD2" w:rsidP="00A80AD2">
            <w:pPr>
              <w:rPr>
                <w:sz w:val="18"/>
                <w:szCs w:val="18"/>
                <w:lang w:val="en-GB"/>
              </w:rPr>
            </w:pPr>
            <w:r w:rsidRPr="000B3CD6">
              <w:rPr>
                <w:sz w:val="18"/>
                <w:szCs w:val="18"/>
                <w:lang w:val="en-GB"/>
              </w:rPr>
              <w:t>Dominated by  interferon beta-1b (Extavia), interferon beta-1b (Betaferon), peg-interferon beta-1a, glatiramer acetate and teriflunomide</w:t>
            </w:r>
          </w:p>
        </w:tc>
      </w:tr>
      <w:tr w:rsidR="00A80AD2" w:rsidRPr="000B3CD6" w:rsidTr="00F311B5">
        <w:trPr>
          <w:trHeight w:val="682"/>
        </w:trPr>
        <w:tc>
          <w:tcPr>
            <w:tcW w:w="1534" w:type="dxa"/>
            <w:shd w:val="clear" w:color="auto" w:fill="auto"/>
            <w:vAlign w:val="center"/>
          </w:tcPr>
          <w:p w:rsidR="00A80AD2" w:rsidRPr="000B3CD6" w:rsidRDefault="00A80AD2" w:rsidP="00A80AD2">
            <w:pPr>
              <w:rPr>
                <w:b/>
                <w:sz w:val="18"/>
                <w:szCs w:val="18"/>
                <w:lang w:val="en-GB"/>
              </w:rPr>
            </w:pPr>
            <w:r w:rsidRPr="000B3CD6">
              <w:rPr>
                <w:b/>
                <w:sz w:val="18"/>
                <w:szCs w:val="18"/>
                <w:lang w:val="en-GB"/>
              </w:rPr>
              <w:t>Interferon beta-1a 30 mcg (Avonex)</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A80AD2" w:rsidRPr="000B3CD6" w:rsidRDefault="00A80AD2" w:rsidP="00A80AD2">
            <w:pPr>
              <w:jc w:val="center"/>
              <w:rPr>
                <w:sz w:val="18"/>
                <w:szCs w:val="18"/>
                <w:lang w:val="en-GB"/>
              </w:rPr>
            </w:pPr>
            <w:r w:rsidRPr="000B3CD6">
              <w:rPr>
                <w:sz w:val="18"/>
                <w:szCs w:val="18"/>
                <w:lang w:val="en-GB"/>
              </w:rPr>
              <w:t>730,422</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AD2" w:rsidRPr="000B3CD6" w:rsidRDefault="00A80AD2" w:rsidP="00A80AD2">
            <w:pPr>
              <w:jc w:val="center"/>
              <w:rPr>
                <w:sz w:val="18"/>
                <w:szCs w:val="18"/>
                <w:lang w:val="en-GB"/>
              </w:rPr>
            </w:pPr>
            <w:r w:rsidRPr="000B3CD6">
              <w:rPr>
                <w:sz w:val="18"/>
                <w:szCs w:val="18"/>
                <w:lang w:val="en-GB"/>
              </w:rPr>
              <w:t>7.27</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AD2" w:rsidRPr="000B3CD6" w:rsidRDefault="00A80AD2" w:rsidP="00A80AD2">
            <w:pPr>
              <w:jc w:val="center"/>
              <w:rPr>
                <w:sz w:val="18"/>
                <w:szCs w:val="18"/>
                <w:lang w:val="en-GB"/>
              </w:rPr>
            </w:pPr>
            <w:r w:rsidRPr="000B3CD6">
              <w:rPr>
                <w:sz w:val="18"/>
                <w:szCs w:val="18"/>
                <w:lang w:val="en-GB"/>
              </w:rPr>
              <w:t>56,533</w:t>
            </w:r>
          </w:p>
        </w:tc>
        <w:tc>
          <w:tcPr>
            <w:tcW w:w="1538" w:type="dxa"/>
            <w:tcBorders>
              <w:top w:val="single" w:sz="4" w:space="0" w:color="auto"/>
              <w:left w:val="single" w:sz="4" w:space="0" w:color="auto"/>
              <w:bottom w:val="single" w:sz="4" w:space="0" w:color="auto"/>
              <w:right w:val="nil"/>
            </w:tcBorders>
            <w:shd w:val="clear" w:color="auto" w:fill="auto"/>
            <w:noWrap/>
            <w:vAlign w:val="center"/>
          </w:tcPr>
          <w:p w:rsidR="00A80AD2" w:rsidRPr="000B3CD6" w:rsidRDefault="00A80AD2" w:rsidP="00A80AD2">
            <w:pPr>
              <w:jc w:val="center"/>
              <w:rPr>
                <w:sz w:val="18"/>
                <w:szCs w:val="18"/>
                <w:lang w:val="en-GB"/>
              </w:rPr>
            </w:pPr>
            <w:r w:rsidRPr="000B3CD6">
              <w:rPr>
                <w:sz w:val="18"/>
                <w:szCs w:val="18"/>
                <w:lang w:val="en-GB"/>
              </w:rPr>
              <w:t>-0.13</w:t>
            </w:r>
          </w:p>
        </w:tc>
        <w:tc>
          <w:tcPr>
            <w:tcW w:w="1398" w:type="dxa"/>
            <w:vAlign w:val="center"/>
          </w:tcPr>
          <w:p w:rsidR="00A80AD2" w:rsidRPr="000B3CD6" w:rsidRDefault="00A80AD2" w:rsidP="00A80AD2">
            <w:pPr>
              <w:jc w:val="center"/>
              <w:rPr>
                <w:sz w:val="18"/>
                <w:szCs w:val="18"/>
                <w:lang w:val="en-GB"/>
              </w:rPr>
            </w:pPr>
            <w:r w:rsidRPr="000B3CD6">
              <w:rPr>
                <w:sz w:val="18"/>
                <w:szCs w:val="18"/>
                <w:lang w:val="en-GB"/>
              </w:rPr>
              <w:t>Dominated</w:t>
            </w:r>
          </w:p>
        </w:tc>
        <w:tc>
          <w:tcPr>
            <w:tcW w:w="1929" w:type="dxa"/>
            <w:vAlign w:val="center"/>
          </w:tcPr>
          <w:p w:rsidR="00A80AD2" w:rsidRPr="000B3CD6" w:rsidRDefault="00A80AD2" w:rsidP="00A80AD2">
            <w:pPr>
              <w:rPr>
                <w:sz w:val="18"/>
                <w:szCs w:val="18"/>
                <w:lang w:val="en-GB"/>
              </w:rPr>
            </w:pPr>
            <w:r w:rsidRPr="000B3CD6">
              <w:rPr>
                <w:sz w:val="18"/>
                <w:szCs w:val="18"/>
                <w:lang w:val="en-GB"/>
              </w:rPr>
              <w:t>Dominated by  interferon beta-1b (Extavia), interferon beta-1b  (Betaferon), peg-interferon beta-1a, glatiramer acetate and teriflunomide</w:t>
            </w:r>
          </w:p>
        </w:tc>
      </w:tr>
      <w:tr w:rsidR="00A80AD2" w:rsidRPr="000B3CD6" w:rsidTr="00F311B5">
        <w:trPr>
          <w:trHeight w:val="682"/>
        </w:trPr>
        <w:tc>
          <w:tcPr>
            <w:tcW w:w="1534" w:type="dxa"/>
            <w:shd w:val="clear" w:color="auto" w:fill="auto"/>
            <w:vAlign w:val="center"/>
          </w:tcPr>
          <w:p w:rsidR="00A80AD2" w:rsidRPr="000B3CD6" w:rsidRDefault="00A80AD2" w:rsidP="000B3CD6">
            <w:pPr>
              <w:rPr>
                <w:b/>
                <w:sz w:val="18"/>
                <w:szCs w:val="18"/>
                <w:lang w:val="en-GB"/>
              </w:rPr>
            </w:pPr>
            <w:r w:rsidRPr="000B3CD6">
              <w:rPr>
                <w:b/>
                <w:sz w:val="18"/>
                <w:szCs w:val="18"/>
                <w:lang w:val="en-GB"/>
              </w:rPr>
              <w:t>Interferon</w:t>
            </w:r>
          </w:p>
          <w:p w:rsidR="00A80AD2" w:rsidRPr="000B3CD6" w:rsidRDefault="00A80AD2" w:rsidP="000B3CD6">
            <w:pPr>
              <w:rPr>
                <w:b/>
                <w:sz w:val="18"/>
                <w:szCs w:val="18"/>
                <w:lang w:val="en-GB"/>
              </w:rPr>
            </w:pPr>
            <w:r w:rsidRPr="000B3CD6">
              <w:rPr>
                <w:b/>
                <w:sz w:val="18"/>
                <w:szCs w:val="18"/>
                <w:lang w:val="en-GB"/>
              </w:rPr>
              <w:t>beta-1a 44 mcg (Rebif)</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A80AD2" w:rsidRPr="000B3CD6" w:rsidRDefault="00A80AD2" w:rsidP="00A80AD2">
            <w:pPr>
              <w:jc w:val="center"/>
              <w:rPr>
                <w:sz w:val="18"/>
                <w:szCs w:val="18"/>
                <w:lang w:val="en-GB"/>
              </w:rPr>
            </w:pPr>
            <w:r w:rsidRPr="000B3CD6">
              <w:rPr>
                <w:sz w:val="18"/>
                <w:szCs w:val="18"/>
                <w:lang w:val="en-GB"/>
              </w:rPr>
              <w:t>734,240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AD2" w:rsidRPr="000B3CD6" w:rsidRDefault="00A80AD2" w:rsidP="00A80AD2">
            <w:pPr>
              <w:jc w:val="center"/>
              <w:rPr>
                <w:sz w:val="18"/>
                <w:szCs w:val="18"/>
                <w:lang w:val="en-GB"/>
              </w:rPr>
            </w:pPr>
            <w:r w:rsidRPr="000B3CD6">
              <w:rPr>
                <w:sz w:val="18"/>
                <w:szCs w:val="18"/>
                <w:lang w:val="en-GB"/>
              </w:rPr>
              <w:t>7.32</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AD2" w:rsidRPr="000B3CD6" w:rsidRDefault="00A80AD2" w:rsidP="00A80AD2">
            <w:pPr>
              <w:jc w:val="center"/>
              <w:rPr>
                <w:sz w:val="18"/>
                <w:szCs w:val="18"/>
                <w:lang w:val="en-GB"/>
              </w:rPr>
            </w:pPr>
            <w:r w:rsidRPr="000B3CD6">
              <w:rPr>
                <w:sz w:val="18"/>
                <w:szCs w:val="18"/>
                <w:lang w:val="en-GB"/>
              </w:rPr>
              <w:t>60,351</w:t>
            </w:r>
          </w:p>
        </w:tc>
        <w:tc>
          <w:tcPr>
            <w:tcW w:w="1538" w:type="dxa"/>
            <w:tcBorders>
              <w:top w:val="single" w:sz="4" w:space="0" w:color="auto"/>
              <w:left w:val="single" w:sz="4" w:space="0" w:color="auto"/>
              <w:bottom w:val="single" w:sz="4" w:space="0" w:color="auto"/>
              <w:right w:val="nil"/>
            </w:tcBorders>
            <w:shd w:val="clear" w:color="auto" w:fill="auto"/>
            <w:noWrap/>
            <w:vAlign w:val="center"/>
          </w:tcPr>
          <w:p w:rsidR="00A80AD2" w:rsidRPr="000B3CD6" w:rsidRDefault="00A80AD2" w:rsidP="00A80AD2">
            <w:pPr>
              <w:jc w:val="center"/>
              <w:rPr>
                <w:sz w:val="18"/>
                <w:szCs w:val="18"/>
                <w:lang w:val="en-GB"/>
              </w:rPr>
            </w:pPr>
            <w:r w:rsidRPr="000B3CD6">
              <w:rPr>
                <w:sz w:val="18"/>
                <w:szCs w:val="18"/>
                <w:lang w:val="en-GB"/>
              </w:rPr>
              <w:t>-0.08</w:t>
            </w:r>
          </w:p>
        </w:tc>
        <w:tc>
          <w:tcPr>
            <w:tcW w:w="1398" w:type="dxa"/>
            <w:vAlign w:val="center"/>
          </w:tcPr>
          <w:p w:rsidR="00A80AD2" w:rsidRPr="000B3CD6" w:rsidRDefault="00A80AD2" w:rsidP="00A80AD2">
            <w:pPr>
              <w:jc w:val="center"/>
              <w:rPr>
                <w:sz w:val="18"/>
                <w:szCs w:val="18"/>
                <w:lang w:val="en-GB"/>
              </w:rPr>
            </w:pPr>
            <w:r w:rsidRPr="000B3CD6">
              <w:rPr>
                <w:sz w:val="18"/>
                <w:szCs w:val="18"/>
                <w:lang w:val="en-GB"/>
              </w:rPr>
              <w:t>Dominated</w:t>
            </w:r>
          </w:p>
        </w:tc>
        <w:tc>
          <w:tcPr>
            <w:tcW w:w="1929" w:type="dxa"/>
            <w:vAlign w:val="center"/>
          </w:tcPr>
          <w:p w:rsidR="00A80AD2" w:rsidRPr="000B3CD6" w:rsidRDefault="00A80AD2" w:rsidP="00A80AD2">
            <w:pPr>
              <w:rPr>
                <w:sz w:val="18"/>
                <w:szCs w:val="18"/>
                <w:lang w:val="en-GB"/>
              </w:rPr>
            </w:pPr>
            <w:r w:rsidRPr="000B3CD6">
              <w:rPr>
                <w:sz w:val="18"/>
                <w:szCs w:val="18"/>
                <w:lang w:val="en-GB"/>
              </w:rPr>
              <w:t>Dominated by interferon beta-1b (Extavia), interferon beta-1b (Betaferon), peg-interferon beta-1a, glatiramer acetate and teriflunomide</w:t>
            </w:r>
          </w:p>
        </w:tc>
      </w:tr>
      <w:tr w:rsidR="000B3CD6" w:rsidRPr="000B3CD6" w:rsidTr="00F311B5">
        <w:trPr>
          <w:trHeight w:val="682"/>
        </w:trPr>
        <w:tc>
          <w:tcPr>
            <w:tcW w:w="1534" w:type="dxa"/>
            <w:shd w:val="clear" w:color="auto" w:fill="auto"/>
            <w:vAlign w:val="center"/>
          </w:tcPr>
          <w:p w:rsidR="000B3CD6" w:rsidRPr="000B3CD6" w:rsidRDefault="000B3CD6" w:rsidP="000B3CD6">
            <w:pPr>
              <w:rPr>
                <w:b/>
                <w:sz w:val="18"/>
                <w:szCs w:val="18"/>
                <w:lang w:val="en-GB"/>
              </w:rPr>
            </w:pPr>
            <w:r w:rsidRPr="000B3CD6">
              <w:rPr>
                <w:b/>
                <w:sz w:val="18"/>
                <w:szCs w:val="18"/>
                <w:lang w:val="en-GB"/>
              </w:rPr>
              <w:t>Dimethyl fumarate (Tecifidera)</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0B3CD6" w:rsidRPr="000B3CD6" w:rsidRDefault="000B3CD6" w:rsidP="00A80AD2">
            <w:pPr>
              <w:jc w:val="center"/>
              <w:rPr>
                <w:sz w:val="18"/>
                <w:szCs w:val="18"/>
                <w:lang w:val="en-GB"/>
              </w:rPr>
            </w:pPr>
            <w:r w:rsidRPr="000B3CD6">
              <w:rPr>
                <w:sz w:val="18"/>
                <w:szCs w:val="18"/>
                <w:lang w:val="en-GB"/>
              </w:rPr>
              <w:t>749,564</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CD6" w:rsidRPr="000B3CD6" w:rsidRDefault="000B3CD6" w:rsidP="00A80AD2">
            <w:pPr>
              <w:jc w:val="center"/>
              <w:rPr>
                <w:sz w:val="18"/>
                <w:szCs w:val="18"/>
                <w:lang w:val="en-GB"/>
              </w:rPr>
            </w:pPr>
            <w:r w:rsidRPr="000B3CD6">
              <w:rPr>
                <w:sz w:val="18"/>
                <w:szCs w:val="18"/>
                <w:lang w:val="en-GB"/>
              </w:rPr>
              <w:t>7.52</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CD6" w:rsidRPr="000B3CD6" w:rsidRDefault="000B3CD6" w:rsidP="00A80AD2">
            <w:pPr>
              <w:jc w:val="center"/>
              <w:rPr>
                <w:sz w:val="18"/>
                <w:szCs w:val="18"/>
                <w:lang w:val="en-GB"/>
              </w:rPr>
            </w:pPr>
            <w:r w:rsidRPr="000B3CD6">
              <w:rPr>
                <w:sz w:val="18"/>
                <w:szCs w:val="18"/>
                <w:lang w:val="en-GB"/>
              </w:rPr>
              <w:t>76,675</w:t>
            </w:r>
          </w:p>
        </w:tc>
        <w:tc>
          <w:tcPr>
            <w:tcW w:w="1538" w:type="dxa"/>
            <w:tcBorders>
              <w:top w:val="single" w:sz="4" w:space="0" w:color="auto"/>
              <w:left w:val="single" w:sz="4" w:space="0" w:color="auto"/>
              <w:bottom w:val="single" w:sz="4" w:space="0" w:color="auto"/>
              <w:right w:val="nil"/>
            </w:tcBorders>
            <w:shd w:val="clear" w:color="auto" w:fill="auto"/>
            <w:noWrap/>
            <w:vAlign w:val="center"/>
          </w:tcPr>
          <w:p w:rsidR="000B3CD6" w:rsidRPr="000B3CD6" w:rsidRDefault="000B3CD6" w:rsidP="00A80AD2">
            <w:pPr>
              <w:jc w:val="center"/>
              <w:rPr>
                <w:sz w:val="18"/>
                <w:szCs w:val="18"/>
                <w:lang w:val="en-GB"/>
              </w:rPr>
            </w:pPr>
            <w:r w:rsidRPr="000B3CD6">
              <w:rPr>
                <w:sz w:val="18"/>
                <w:szCs w:val="18"/>
                <w:lang w:val="en-GB"/>
              </w:rPr>
              <w:t>0.12</w:t>
            </w:r>
          </w:p>
        </w:tc>
        <w:tc>
          <w:tcPr>
            <w:tcW w:w="1398" w:type="dxa"/>
            <w:vAlign w:val="center"/>
          </w:tcPr>
          <w:p w:rsidR="000B3CD6" w:rsidRPr="000B3CD6" w:rsidRDefault="000B3CD6" w:rsidP="000B3CD6">
            <w:pPr>
              <w:jc w:val="center"/>
              <w:rPr>
                <w:sz w:val="18"/>
                <w:szCs w:val="18"/>
              </w:rPr>
            </w:pPr>
            <w:r w:rsidRPr="000B3CD6">
              <w:rPr>
                <w:sz w:val="18"/>
                <w:szCs w:val="18"/>
              </w:rPr>
              <w:t>630,625</w:t>
            </w:r>
          </w:p>
        </w:tc>
        <w:tc>
          <w:tcPr>
            <w:tcW w:w="1929" w:type="dxa"/>
            <w:vAlign w:val="center"/>
          </w:tcPr>
          <w:p w:rsidR="000B3CD6" w:rsidRPr="000B3CD6" w:rsidRDefault="000B3CD6" w:rsidP="00A80AD2">
            <w:pPr>
              <w:rPr>
                <w:sz w:val="18"/>
                <w:szCs w:val="18"/>
                <w:lang w:val="en-GB"/>
              </w:rPr>
            </w:pPr>
            <w:r w:rsidRPr="000B3CD6">
              <w:rPr>
                <w:sz w:val="18"/>
                <w:szCs w:val="18"/>
                <w:lang w:val="en-GB"/>
              </w:rPr>
              <w:t xml:space="preserve">Dominated peg-interferon beta-1a </w:t>
            </w:r>
          </w:p>
        </w:tc>
      </w:tr>
      <w:tr w:rsidR="000B3CD6" w:rsidRPr="000B3CD6" w:rsidTr="00F311B5">
        <w:trPr>
          <w:trHeight w:val="1330"/>
        </w:trPr>
        <w:tc>
          <w:tcPr>
            <w:tcW w:w="1534" w:type="dxa"/>
            <w:shd w:val="clear" w:color="auto" w:fill="auto"/>
            <w:vAlign w:val="center"/>
          </w:tcPr>
          <w:p w:rsidR="000B3CD6" w:rsidRPr="000B3CD6" w:rsidRDefault="000B3CD6" w:rsidP="00A80AD2">
            <w:pPr>
              <w:rPr>
                <w:b/>
                <w:sz w:val="18"/>
                <w:szCs w:val="18"/>
                <w:lang w:val="en-GB"/>
              </w:rPr>
            </w:pPr>
            <w:r w:rsidRPr="000B3CD6">
              <w:rPr>
                <w:b/>
                <w:sz w:val="18"/>
                <w:szCs w:val="18"/>
                <w:lang w:val="en-GB"/>
              </w:rPr>
              <w:t>Fingolimod  (Gilenya)</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0B3CD6" w:rsidRPr="000B3CD6" w:rsidRDefault="000B3CD6" w:rsidP="00A80AD2">
            <w:pPr>
              <w:jc w:val="center"/>
              <w:rPr>
                <w:sz w:val="18"/>
                <w:szCs w:val="18"/>
                <w:lang w:val="en-GB"/>
              </w:rPr>
            </w:pPr>
            <w:r w:rsidRPr="000B3CD6">
              <w:rPr>
                <w:sz w:val="18"/>
                <w:szCs w:val="18"/>
                <w:lang w:val="en-GB"/>
              </w:rPr>
              <w:t>786,440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CD6" w:rsidRPr="000B3CD6" w:rsidRDefault="000B3CD6" w:rsidP="00A80AD2">
            <w:pPr>
              <w:jc w:val="center"/>
              <w:rPr>
                <w:sz w:val="18"/>
                <w:szCs w:val="18"/>
                <w:lang w:val="en-GB"/>
              </w:rPr>
            </w:pPr>
            <w:r w:rsidRPr="000B3CD6">
              <w:rPr>
                <w:sz w:val="18"/>
                <w:szCs w:val="18"/>
                <w:lang w:val="en-GB"/>
              </w:rPr>
              <w:t>7.42</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CD6" w:rsidRPr="000B3CD6" w:rsidRDefault="000B3CD6" w:rsidP="00A80AD2">
            <w:pPr>
              <w:jc w:val="center"/>
              <w:rPr>
                <w:sz w:val="18"/>
                <w:szCs w:val="18"/>
                <w:lang w:val="en-GB"/>
              </w:rPr>
            </w:pPr>
            <w:r w:rsidRPr="000B3CD6">
              <w:rPr>
                <w:sz w:val="18"/>
                <w:szCs w:val="18"/>
                <w:lang w:val="en-GB"/>
              </w:rPr>
              <w:t>112,551</w:t>
            </w:r>
          </w:p>
        </w:tc>
        <w:tc>
          <w:tcPr>
            <w:tcW w:w="1538" w:type="dxa"/>
            <w:tcBorders>
              <w:top w:val="single" w:sz="4" w:space="0" w:color="auto"/>
              <w:left w:val="single" w:sz="4" w:space="0" w:color="auto"/>
              <w:bottom w:val="single" w:sz="4" w:space="0" w:color="auto"/>
              <w:right w:val="nil"/>
            </w:tcBorders>
            <w:shd w:val="clear" w:color="auto" w:fill="auto"/>
            <w:noWrap/>
            <w:vAlign w:val="center"/>
          </w:tcPr>
          <w:p w:rsidR="000B3CD6" w:rsidRPr="000B3CD6" w:rsidRDefault="000B3CD6" w:rsidP="00A80AD2">
            <w:pPr>
              <w:jc w:val="center"/>
              <w:rPr>
                <w:sz w:val="18"/>
                <w:szCs w:val="18"/>
                <w:lang w:val="en-GB"/>
              </w:rPr>
            </w:pPr>
            <w:r w:rsidRPr="000B3CD6">
              <w:rPr>
                <w:sz w:val="18"/>
                <w:szCs w:val="18"/>
                <w:lang w:val="en-GB"/>
              </w:rPr>
              <w:t>0.02</w:t>
            </w:r>
          </w:p>
        </w:tc>
        <w:tc>
          <w:tcPr>
            <w:tcW w:w="1398" w:type="dxa"/>
            <w:vAlign w:val="center"/>
          </w:tcPr>
          <w:p w:rsidR="000B3CD6" w:rsidRPr="000B3CD6" w:rsidRDefault="000B3CD6" w:rsidP="000B3CD6">
            <w:pPr>
              <w:jc w:val="center"/>
              <w:rPr>
                <w:sz w:val="18"/>
                <w:szCs w:val="18"/>
              </w:rPr>
            </w:pPr>
            <w:r w:rsidRPr="000B3CD6">
              <w:rPr>
                <w:sz w:val="18"/>
                <w:szCs w:val="18"/>
              </w:rPr>
              <w:t>5,627,550</w:t>
            </w:r>
          </w:p>
        </w:tc>
        <w:tc>
          <w:tcPr>
            <w:tcW w:w="1929" w:type="dxa"/>
            <w:vAlign w:val="center"/>
          </w:tcPr>
          <w:p w:rsidR="000B3CD6" w:rsidRPr="000B3CD6" w:rsidRDefault="000B3CD6" w:rsidP="00A80AD2">
            <w:pPr>
              <w:rPr>
                <w:sz w:val="18"/>
                <w:szCs w:val="18"/>
                <w:lang w:val="en-GB"/>
              </w:rPr>
            </w:pPr>
            <w:r w:rsidRPr="000B3CD6">
              <w:rPr>
                <w:sz w:val="18"/>
                <w:szCs w:val="18"/>
                <w:lang w:val="en-GB"/>
              </w:rPr>
              <w:t xml:space="preserve">Dominated by peg-interferon beta-1a, dimethyl fumarate and natalizumab </w:t>
            </w:r>
          </w:p>
        </w:tc>
      </w:tr>
    </w:tbl>
    <w:p w:rsidR="00F311B5" w:rsidRDefault="00F311B5" w:rsidP="00F311B5">
      <w:pPr>
        <w:pStyle w:val="Tabletextbullet"/>
        <w:numPr>
          <w:ilvl w:val="0"/>
          <w:numId w:val="0"/>
        </w:numPr>
        <w:rPr>
          <w:rFonts w:asciiTheme="minorHAnsi" w:hAnsiTheme="minorHAnsi"/>
          <w:sz w:val="20"/>
          <w:szCs w:val="20"/>
          <w:lang w:val="en-GB"/>
        </w:rPr>
      </w:pPr>
      <w:r w:rsidRPr="00F7606D">
        <w:rPr>
          <w:rFonts w:asciiTheme="minorHAnsi" w:hAnsiTheme="minorHAnsi"/>
          <w:sz w:val="20"/>
          <w:szCs w:val="20"/>
          <w:lang w:val="en-GB"/>
        </w:rPr>
        <w:t xml:space="preserve">QALY: quality-adjusted life year; ICER: incremental cost-effectiveness ratio; mcg: microgram; mg: milligram </w:t>
      </w:r>
    </w:p>
    <w:p w:rsidR="00F311B5" w:rsidRPr="002B1358" w:rsidRDefault="00F311B5" w:rsidP="002B1358">
      <w:pPr>
        <w:pStyle w:val="Tabletextbullet"/>
        <w:numPr>
          <w:ilvl w:val="0"/>
          <w:numId w:val="0"/>
        </w:numPr>
        <w:rPr>
          <w:rFonts w:asciiTheme="minorHAnsi" w:hAnsiTheme="minorHAnsi"/>
          <w:sz w:val="20"/>
          <w:szCs w:val="20"/>
          <w:lang w:val="en-GB"/>
        </w:rPr>
      </w:pPr>
      <w:r w:rsidRPr="002B1358">
        <w:rPr>
          <w:rFonts w:asciiTheme="minorHAnsi" w:hAnsiTheme="minorHAnsi"/>
          <w:sz w:val="20"/>
          <w:szCs w:val="20"/>
          <w:lang w:val="en-GB"/>
        </w:rPr>
        <w:t xml:space="preserve">a The results are rounded in accordance to the calculations in the probabilistic model, which operates with several decimals. </w:t>
      </w:r>
    </w:p>
    <w:p w:rsidR="00F311B5" w:rsidRPr="002B1358" w:rsidRDefault="00F311B5" w:rsidP="002B1358">
      <w:pPr>
        <w:pStyle w:val="Tabletextbullet"/>
        <w:numPr>
          <w:ilvl w:val="0"/>
          <w:numId w:val="0"/>
        </w:numPr>
        <w:rPr>
          <w:rFonts w:asciiTheme="minorHAnsi" w:hAnsiTheme="minorHAnsi"/>
          <w:sz w:val="20"/>
          <w:szCs w:val="20"/>
          <w:lang w:val="en-GB"/>
        </w:rPr>
      </w:pPr>
      <w:r w:rsidRPr="002B1358">
        <w:rPr>
          <w:rFonts w:asciiTheme="minorHAnsi" w:hAnsiTheme="minorHAnsi"/>
          <w:sz w:val="20"/>
          <w:szCs w:val="20"/>
          <w:lang w:val="en-GB"/>
        </w:rPr>
        <w:t>b Based on effect estimates and annual drug costs, it is highly probable that glatiramer acetate 40 mg 3 times per week will be as cost-effective as glatiramer acetate 20 mg per day (given all the other parameters are the same).</w:t>
      </w:r>
    </w:p>
    <w:p w:rsidR="00F311B5" w:rsidRPr="00F311B5" w:rsidRDefault="00F311B5" w:rsidP="00F311B5"/>
    <w:p w:rsidR="007F3BF7" w:rsidRPr="001137DE" w:rsidRDefault="001137DE" w:rsidP="001137DE">
      <w:pPr>
        <w:pStyle w:val="20"/>
        <w:numPr>
          <w:ilvl w:val="0"/>
          <w:numId w:val="0"/>
        </w:numPr>
        <w:rPr>
          <w:rFonts w:ascii="Times New Roman" w:hAnsi="Times New Roman" w:cs="Times New Roman"/>
          <w:sz w:val="28"/>
        </w:rPr>
      </w:pPr>
      <w:r w:rsidRPr="001137DE">
        <w:rPr>
          <w:rFonts w:ascii="Times New Roman" w:hAnsi="Times New Roman" w:cs="Times New Roman"/>
          <w:sz w:val="28"/>
        </w:rPr>
        <w:t xml:space="preserve">Supplementary material </w:t>
      </w:r>
      <w:r w:rsidR="005F5C6B">
        <w:rPr>
          <w:rFonts w:ascii="Times New Roman" w:hAnsi="Times New Roman" w:cs="Times New Roman"/>
          <w:sz w:val="28"/>
        </w:rPr>
        <w:t>2</w:t>
      </w:r>
      <w:r w:rsidR="000D044E">
        <w:rPr>
          <w:rFonts w:ascii="Times New Roman" w:hAnsi="Times New Roman" w:cs="Times New Roman"/>
          <w:sz w:val="28"/>
        </w:rPr>
        <w:t>1</w:t>
      </w:r>
      <w:r w:rsidRPr="001137DE">
        <w:rPr>
          <w:rFonts w:ascii="Times New Roman" w:hAnsi="Times New Roman" w:cs="Times New Roman"/>
          <w:sz w:val="28"/>
        </w:rPr>
        <w:t xml:space="preserve"> Results of expected value of partial perfect information analysis</w:t>
      </w:r>
      <w:r w:rsidR="00202B10">
        <w:rPr>
          <w:rFonts w:ascii="Times New Roman" w:hAnsi="Times New Roman" w:cs="Times New Roman"/>
          <w:sz w:val="28"/>
        </w:rPr>
        <w:t xml:space="preserve"> for different groups of parameters</w:t>
      </w:r>
    </w:p>
    <w:p w:rsidR="007658C4" w:rsidRPr="00F7606D" w:rsidRDefault="007658C4" w:rsidP="00E33B55">
      <w:pPr>
        <w:keepNext/>
        <w:keepLines/>
        <w:spacing w:after="0" w:line="240" w:lineRule="auto"/>
      </w:pPr>
    </w:p>
    <w:p w:rsidR="00202B10" w:rsidRDefault="00202B10" w:rsidP="00202B10">
      <w:pPr>
        <w:pStyle w:val="Tabletextbullet"/>
        <w:numPr>
          <w:ilvl w:val="0"/>
          <w:numId w:val="0"/>
        </w:numPr>
        <w:rPr>
          <w:rFonts w:asciiTheme="minorHAnsi" w:hAnsiTheme="minorHAnsi"/>
          <w:sz w:val="20"/>
          <w:szCs w:val="20"/>
          <w:lang w:val="en-GB"/>
        </w:rPr>
      </w:pPr>
      <w:r w:rsidRPr="00202B10">
        <w:rPr>
          <w:rFonts w:asciiTheme="minorHAnsi" w:hAnsiTheme="minorHAnsi"/>
          <w:noProof/>
          <w:sz w:val="20"/>
          <w:szCs w:val="20"/>
          <w:lang w:val="en-US" w:eastAsia="zh-CN"/>
        </w:rPr>
        <w:drawing>
          <wp:anchor distT="0" distB="0" distL="114300" distR="114300" simplePos="0" relativeHeight="251660288" behindDoc="0" locked="0" layoutInCell="1" allowOverlap="1">
            <wp:simplePos x="0" y="0"/>
            <wp:positionH relativeFrom="page">
              <wp:posOffset>896620</wp:posOffset>
            </wp:positionH>
            <wp:positionV relativeFrom="paragraph">
              <wp:posOffset>3810</wp:posOffset>
            </wp:positionV>
            <wp:extent cx="6188400" cy="3733200"/>
            <wp:effectExtent l="0" t="0" r="3175"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8400" cy="3733200"/>
                    </a:xfrm>
                    <a:prstGeom prst="rect">
                      <a:avLst/>
                    </a:prstGeom>
                    <a:noFill/>
                  </pic:spPr>
                </pic:pic>
              </a:graphicData>
            </a:graphic>
          </wp:anchor>
        </w:drawing>
      </w:r>
      <w:r w:rsidRPr="00202B10">
        <w:rPr>
          <w:rFonts w:asciiTheme="minorHAnsi" w:hAnsiTheme="minorHAnsi"/>
          <w:sz w:val="20"/>
          <w:szCs w:val="20"/>
          <w:lang w:val="en-GB"/>
        </w:rPr>
        <w:t>QALY:</w:t>
      </w:r>
      <w:r>
        <w:rPr>
          <w:lang w:val="en-GB"/>
        </w:rPr>
        <w:t xml:space="preserve"> </w:t>
      </w:r>
      <w:r w:rsidRPr="00F7606D">
        <w:rPr>
          <w:rFonts w:asciiTheme="minorHAnsi" w:hAnsiTheme="minorHAnsi"/>
          <w:sz w:val="20"/>
          <w:szCs w:val="20"/>
          <w:lang w:val="en-GB"/>
        </w:rPr>
        <w:t xml:space="preserve">quality-adjusted life year; </w:t>
      </w:r>
      <w:r>
        <w:rPr>
          <w:rFonts w:asciiTheme="minorHAnsi" w:hAnsiTheme="minorHAnsi"/>
          <w:sz w:val="20"/>
          <w:szCs w:val="20"/>
          <w:lang w:val="en-GB"/>
        </w:rPr>
        <w:t>WTP: willingness to pay; INMB: incremental net monetary benefit</w:t>
      </w:r>
    </w:p>
    <w:p w:rsidR="00C65797" w:rsidRPr="00ED1C66" w:rsidRDefault="00C65797"/>
    <w:sectPr w:rsidR="00C65797" w:rsidRPr="00ED1C66" w:rsidSect="0020446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52E" w:rsidRDefault="00FB752E">
      <w:pPr>
        <w:spacing w:after="0" w:line="240" w:lineRule="auto"/>
      </w:pPr>
      <w:r>
        <w:separator/>
      </w:r>
    </w:p>
  </w:endnote>
  <w:endnote w:type="continuationSeparator" w:id="0">
    <w:p w:rsidR="00FB752E" w:rsidRDefault="00FB7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un Cd TFm">
    <w:altName w:val="Cambria"/>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System">
    <w:panose1 w:val="00000000000000000000"/>
    <w:charset w:val="86"/>
    <w:family w:val="auto"/>
    <w:notTrueType/>
    <w:pitch w:val="default"/>
    <w:sig w:usb0="00000001" w:usb1="080E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RADE-quality">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Sans-Bold">
    <w:altName w:val="Gill Sans"/>
    <w:panose1 w:val="00000000000000000000"/>
    <w:charset w:val="00"/>
    <w:family w:val="auto"/>
    <w:notTrueType/>
    <w:pitch w:val="default"/>
    <w:sig w:usb0="00000003" w:usb1="00000000" w:usb2="00000000" w:usb3="00000000" w:csb0="00000001" w:csb1="00000000"/>
  </w:font>
  <w:font w:name="AdvP641C">
    <w:panose1 w:val="00000000000000000000"/>
    <w:charset w:val="00"/>
    <w:family w:val="roman"/>
    <w:notTrueType/>
    <w:pitch w:val="default"/>
    <w:sig w:usb0="00000003" w:usb1="00000000" w:usb2="00000000" w:usb3="00000000" w:csb0="00000001" w:csb1="00000000"/>
  </w:font>
  <w:font w:name="AdvAGaramond-R">
    <w:panose1 w:val="00000000000000000000"/>
    <w:charset w:val="00"/>
    <w:family w:val="roman"/>
    <w:notTrueType/>
    <w:pitch w:val="default"/>
    <w:sig w:usb0="00000003" w:usb1="00000000" w:usb2="00000000" w:usb3="00000000" w:csb0="00000001" w:csb1="00000000"/>
  </w:font>
  <w:font w:name="ScalaLancetPro">
    <w:altName w:val="Arial Unicode MS"/>
    <w:panose1 w:val="00000000000000000000"/>
    <w:charset w:val="80"/>
    <w:family w:val="auto"/>
    <w:notTrueType/>
    <w:pitch w:val="default"/>
    <w:sig w:usb0="00000001" w:usb1="08070000" w:usb2="00000010" w:usb3="00000000" w:csb0="00020000" w:csb1="00000000"/>
  </w:font>
  <w:font w:name="OTNEJMQuadraat">
    <w:altName w:val="MS Mincho"/>
    <w:panose1 w:val="00000000000000000000"/>
    <w:charset w:val="00"/>
    <w:family w:val="roman"/>
    <w:notTrueType/>
    <w:pitch w:val="default"/>
    <w:sig w:usb0="00000001" w:usb1="08070000" w:usb2="00000010" w:usb3="00000000" w:csb0="00020001" w:csb1="00000000"/>
  </w:font>
  <w:font w:name="AGaramond-Regular">
    <w:panose1 w:val="00000000000000000000"/>
    <w:charset w:val="00"/>
    <w:family w:val="roman"/>
    <w:notTrueType/>
    <w:pitch w:val="default"/>
    <w:sig w:usb0="00000003" w:usb1="00000000" w:usb2="00000000" w:usb3="00000000" w:csb0="00000001" w:csb1="00000000"/>
  </w:font>
  <w:font w:name="AdvAVENIR-R">
    <w:panose1 w:val="00000000000000000000"/>
    <w:charset w:val="00"/>
    <w:family w:val="swiss"/>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Universal-GreekwithMathPi">
    <w:panose1 w:val="00000000000000000000"/>
    <w:charset w:val="00"/>
    <w:family w:val="auto"/>
    <w:notTrueType/>
    <w:pitch w:val="default"/>
    <w:sig w:usb0="00000003" w:usb1="00000000" w:usb2="00000000" w:usb3="00000000" w:csb0="00000001" w:csb1="00000000"/>
  </w:font>
  <w:font w:name="ScalaLancetPro-Bold">
    <w:altName w:val="Arial Unicode MS"/>
    <w:panose1 w:val="00000000000000000000"/>
    <w:charset w:val="00"/>
    <w:family w:val="auto"/>
    <w:notTrueType/>
    <w:pitch w:val="default"/>
    <w:sig w:usb0="00000000" w:usb1="08070000" w:usb2="00000010" w:usb3="00000000" w:csb0="00020001" w:csb1="00000000"/>
  </w:font>
  <w:font w:name="Shaker2Lancet-Regular">
    <w:altName w:val="MS Mincho"/>
    <w:panose1 w:val="00000000000000000000"/>
    <w:charset w:val="80"/>
    <w:family w:val="auto"/>
    <w:notTrueType/>
    <w:pitch w:val="default"/>
    <w:sig w:usb0="00000001" w:usb1="08070000" w:usb2="00000010" w:usb3="00000000" w:csb0="00020000" w:csb1="00000000"/>
  </w:font>
  <w:font w:name="AdvTT5235d5a9">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TT86d47313">
    <w:altName w:val="Cambria"/>
    <w:panose1 w:val="00000000000000000000"/>
    <w:charset w:val="00"/>
    <w:family w:val="roman"/>
    <w:notTrueType/>
    <w:pitch w:val="default"/>
    <w:sig w:usb0="00000003" w:usb1="00000000" w:usb2="00000000" w:usb3="00000000" w:csb0="00000001" w:csb1="00000000"/>
  </w:font>
  <w:font w:name="AdvOT35fdff1a">
    <w:panose1 w:val="00000000000000000000"/>
    <w:charset w:val="00"/>
    <w:family w:val="roman"/>
    <w:notTrueType/>
    <w:pitch w:val="default"/>
    <w:sig w:usb0="00000003" w:usb1="00000000" w:usb2="00000000" w:usb3="00000000" w:csb0="00000001" w:csb1="00000000"/>
  </w:font>
  <w:font w:name="AdvTTb5929f4c">
    <w:panose1 w:val="00000000000000000000"/>
    <w:charset w:val="00"/>
    <w:family w:val="swiss"/>
    <w:notTrueType/>
    <w:pitch w:val="default"/>
    <w:sig w:usb0="00000003" w:usb1="00000000" w:usb2="00000000" w:usb3="00000000" w:csb0="00000001" w:csb1="00000000"/>
  </w:font>
  <w:font w:name="AdvTT86d47313+03">
    <w:altName w:val="Times New Roman"/>
    <w:panose1 w:val="00000000000000000000"/>
    <w:charset w:val="A1"/>
    <w:family w:val="auto"/>
    <w:notTrueType/>
    <w:pitch w:val="default"/>
    <w:sig w:usb0="00000081" w:usb1="00000000" w:usb2="00000000" w:usb3="00000000" w:csb0="00000008" w:csb1="00000000"/>
  </w:font>
  <w:font w:name="GillSansStd">
    <w:altName w:val="MS Gothic"/>
    <w:panose1 w:val="00000000000000000000"/>
    <w:charset w:val="80"/>
    <w:family w:val="swiss"/>
    <w:notTrueType/>
    <w:pitch w:val="default"/>
    <w:sig w:usb0="00000001" w:usb1="08070000" w:usb2="00000010" w:usb3="00000000" w:csb0="00020000" w:csb1="00000000"/>
  </w:font>
  <w:font w:name="PlantinStd">
    <w:panose1 w:val="00000000000000000000"/>
    <w:charset w:val="00"/>
    <w:family w:val="auto"/>
    <w:notTrueType/>
    <w:pitch w:val="default"/>
    <w:sig w:usb0="00000003" w:usb1="00000000" w:usb2="00000000" w:usb3="00000000" w:csb0="00000001" w:csb1="00000000"/>
  </w:font>
  <w:font w:name="OTNEJMScalaSansLF">
    <w:altName w:val="Arial"/>
    <w:panose1 w:val="00000000000000000000"/>
    <w:charset w:val="A3"/>
    <w:family w:val="swiss"/>
    <w:notTrueType/>
    <w:pitch w:val="default"/>
    <w:sig w:usb0="20000001" w:usb1="08070000" w:usb2="00000010" w:usb3="00000000" w:csb0="00020100" w:csb1="00000000"/>
  </w:font>
  <w:font w:name="OTNEJMQuadraatSmallCap">
    <w:altName w:val="Times New Roman"/>
    <w:panose1 w:val="00000000000000000000"/>
    <w:charset w:val="A3"/>
    <w:family w:val="roman"/>
    <w:notTrueType/>
    <w:pitch w:val="default"/>
    <w:sig w:usb0="20000001" w:usb1="00000000" w:usb2="00000000" w:usb3="00000000" w:csb0="00000100" w:csb1="00000000"/>
  </w:font>
  <w:font w:name="TimesNewRoman">
    <w:panose1 w:val="00000000000000000000"/>
    <w:charset w:val="00"/>
    <w:family w:val="roman"/>
    <w:notTrueType/>
    <w:pitch w:val="default"/>
    <w:sig w:usb0="00000003" w:usb1="00000000" w:usb2="00000000" w:usb3="00000000" w:csb0="00000001" w:csb1="00000000"/>
  </w:font>
  <w:font w:name="Shaker2Lancet-BoldItalic">
    <w:panose1 w:val="00000000000000000000"/>
    <w:charset w:val="00"/>
    <w:family w:val="auto"/>
    <w:notTrueType/>
    <w:pitch w:val="default"/>
    <w:sig w:usb0="00000003" w:usb1="00000000" w:usb2="00000000" w:usb3="00000000" w:csb0="00000001" w:csb1="00000000"/>
  </w:font>
  <w:font w:name="MathematicalPi-One">
    <w:panose1 w:val="00000000000000000000"/>
    <w:charset w:val="00"/>
    <w:family w:val="auto"/>
    <w:notTrueType/>
    <w:pitch w:val="default"/>
    <w:sig w:usb0="00000003" w:usb1="00000000" w:usb2="00000000" w:usb3="00000000" w:csb0="00000001" w:csb1="00000000"/>
  </w:font>
  <w:font w:name="Plantin">
    <w:panose1 w:val="00000000000000000000"/>
    <w:charset w:val="00"/>
    <w:family w:val="auto"/>
    <w:notTrueType/>
    <w:pitch w:val="default"/>
    <w:sig w:usb0="00000003" w:usb1="00000000" w:usb2="00000000" w:usb3="00000000" w:csb0="00000001" w:csb1="00000000"/>
  </w:font>
  <w:font w:name="AdvTT5235d5a9+fb">
    <w:panose1 w:val="00000000000000000000"/>
    <w:charset w:val="00"/>
    <w:family w:val="auto"/>
    <w:notTrueType/>
    <w:pitch w:val="default"/>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 w:name="AdvP4BCB5F">
    <w:panose1 w:val="00000000000000000000"/>
    <w:charset w:val="00"/>
    <w:family w:val="roman"/>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AdvMT_SY">
    <w:panose1 w:val="00000000000000000000"/>
    <w:charset w:val="00"/>
    <w:family w:val="auto"/>
    <w:notTrueType/>
    <w:pitch w:val="default"/>
    <w:sig w:usb0="00000003" w:usb1="00000000" w:usb2="00000000" w:usb3="00000000" w:csb0="00000001" w:csb1="00000000"/>
  </w:font>
  <w:font w:name="AdvTT86d47313+20">
    <w:panose1 w:val="00000000000000000000"/>
    <w:charset w:val="00"/>
    <w:family w:val="swiss"/>
    <w:notTrueType/>
    <w:pitch w:val="default"/>
    <w:sig w:usb0="00000003" w:usb1="00000000" w:usb2="00000000" w:usb3="00000000" w:csb0="00000001" w:csb1="00000000"/>
  </w:font>
  <w:font w:name="AdvTT86d47313+22">
    <w:altName w:val="MS Mincho"/>
    <w:panose1 w:val="00000000000000000000"/>
    <w:charset w:val="80"/>
    <w:family w:val="auto"/>
    <w:notTrueType/>
    <w:pitch w:val="default"/>
    <w:sig w:usb0="00000000" w:usb1="08070000" w:usb2="00000010" w:usb3="00000000" w:csb0="00020000" w:csb1="00000000"/>
  </w:font>
  <w:font w:name="AdvPS7DA6">
    <w:panose1 w:val="00000000000000000000"/>
    <w:charset w:val="00"/>
    <w:family w:val="swiss"/>
    <w:notTrueType/>
    <w:pitch w:val="default"/>
    <w:sig w:usb0="00000003" w:usb1="00000000" w:usb2="00000000" w:usb3="00000000" w:csb0="00000001" w:csb1="00000000"/>
  </w:font>
  <w:font w:name="AdvTir_symb">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DE" w:rsidRDefault="00204467">
    <w:pPr>
      <w:pStyle w:val="ac"/>
      <w:framePr w:wrap="around" w:vAnchor="text" w:hAnchor="page" w:x="1419" w:y="23"/>
      <w:rPr>
        <w:noProof/>
        <w:sz w:val="18"/>
      </w:rPr>
    </w:pPr>
    <w:r>
      <w:rPr>
        <w:rStyle w:val="ad"/>
        <w:noProof/>
      </w:rPr>
      <w:fldChar w:fldCharType="begin"/>
    </w:r>
    <w:r w:rsidR="00DA73DE">
      <w:rPr>
        <w:rStyle w:val="ad"/>
        <w:noProof/>
      </w:rPr>
      <w:instrText xml:space="preserve">PAGE  </w:instrText>
    </w:r>
    <w:r>
      <w:rPr>
        <w:rStyle w:val="ad"/>
        <w:noProof/>
      </w:rPr>
      <w:fldChar w:fldCharType="separate"/>
    </w:r>
    <w:r w:rsidR="0075275D">
      <w:rPr>
        <w:rStyle w:val="ad"/>
        <w:noProof/>
      </w:rPr>
      <w:t>119</w:t>
    </w:r>
    <w:r>
      <w:rPr>
        <w:rStyle w:val="ad"/>
        <w:noProof/>
      </w:rPr>
      <w:fldChar w:fldCharType="end"/>
    </w:r>
    <w:r w:rsidR="00DA73DE">
      <w:rPr>
        <w:rStyle w:val="ad"/>
        <w:noProof/>
      </w:rPr>
      <w:t xml:space="preserve"> </w:t>
    </w:r>
  </w:p>
  <w:p w:rsidR="00DA73DE" w:rsidRDefault="00DA73DE">
    <w:pPr>
      <w:pStyle w:val="ac"/>
      <w:tabs>
        <w:tab w:val="clear" w:pos="227"/>
        <w:tab w:val="clear" w:pos="510"/>
        <w:tab w:val="clear" w:pos="4320"/>
        <w:tab w:val="clear" w:pos="8640"/>
      </w:tabs>
      <w:ind w:firstLine="360"/>
    </w:pPr>
  </w:p>
  <w:p w:rsidR="00DA73DE" w:rsidRDefault="00DA73DE"/>
  <w:p w:rsidR="00DA73DE" w:rsidRDefault="00DA73DE"/>
  <w:p w:rsidR="00DA73DE" w:rsidRDefault="00DA73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52E" w:rsidRDefault="00FB752E">
      <w:pPr>
        <w:spacing w:after="0" w:line="240" w:lineRule="auto"/>
      </w:pPr>
      <w:r>
        <w:separator/>
      </w:r>
    </w:p>
  </w:footnote>
  <w:footnote w:type="continuationSeparator" w:id="0">
    <w:p w:rsidR="00FB752E" w:rsidRDefault="00FB752E">
      <w:pPr>
        <w:spacing w:after="0" w:line="240" w:lineRule="auto"/>
      </w:pPr>
      <w:r>
        <w:continuationSeparator/>
      </w:r>
    </w:p>
  </w:footnote>
  <w:footnote w:id="1">
    <w:p w:rsidR="00DA73DE" w:rsidRPr="00F36B6D" w:rsidRDefault="00DA73DE" w:rsidP="006B637D">
      <w:pPr>
        <w:pStyle w:val="af"/>
        <w:rPr>
          <w:lang w:val="en-US"/>
        </w:rPr>
      </w:pPr>
      <w:r>
        <w:rPr>
          <w:rStyle w:val="af2"/>
        </w:rPr>
        <w:footnoteRef/>
      </w:r>
      <w:r w:rsidRPr="00F36B6D">
        <w:rPr>
          <w:lang w:val="en-US"/>
        </w:rPr>
        <w:t xml:space="preserve"> We </w:t>
      </w:r>
      <w:r>
        <w:rPr>
          <w:lang w:val="en-US"/>
        </w:rPr>
        <w:t xml:space="preserve">will use a common comparator in the model based on the results from network analyses.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DE" w:rsidRDefault="00DA73DE"/>
  <w:p w:rsidR="00DA73DE" w:rsidRDefault="00DA73DE"/>
  <w:p w:rsidR="00DA73DE" w:rsidRDefault="00DA73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7E8EBA"/>
    <w:lvl w:ilvl="0">
      <w:start w:val="1"/>
      <w:numFmt w:val="decimal"/>
      <w:pStyle w:val="5"/>
      <w:lvlText w:val="%1."/>
      <w:lvlJc w:val="left"/>
      <w:pPr>
        <w:tabs>
          <w:tab w:val="num" w:pos="1800"/>
        </w:tabs>
        <w:ind w:left="1800" w:hanging="360"/>
      </w:pPr>
    </w:lvl>
  </w:abstractNum>
  <w:abstractNum w:abstractNumId="1">
    <w:nsid w:val="FFFFFF7D"/>
    <w:multiLevelType w:val="singleLevel"/>
    <w:tmpl w:val="662C3DAA"/>
    <w:lvl w:ilvl="0">
      <w:start w:val="1"/>
      <w:numFmt w:val="decimal"/>
      <w:pStyle w:val="4"/>
      <w:lvlText w:val="%1."/>
      <w:lvlJc w:val="left"/>
      <w:pPr>
        <w:tabs>
          <w:tab w:val="num" w:pos="1440"/>
        </w:tabs>
        <w:ind w:left="1440" w:hanging="360"/>
      </w:pPr>
    </w:lvl>
  </w:abstractNum>
  <w:abstractNum w:abstractNumId="2">
    <w:nsid w:val="FFFFFF7E"/>
    <w:multiLevelType w:val="singleLevel"/>
    <w:tmpl w:val="C004023E"/>
    <w:lvl w:ilvl="0">
      <w:start w:val="1"/>
      <w:numFmt w:val="decimal"/>
      <w:pStyle w:val="3"/>
      <w:lvlText w:val="%1."/>
      <w:lvlJc w:val="left"/>
      <w:pPr>
        <w:tabs>
          <w:tab w:val="num" w:pos="1080"/>
        </w:tabs>
        <w:ind w:left="1080" w:hanging="360"/>
      </w:pPr>
    </w:lvl>
  </w:abstractNum>
  <w:abstractNum w:abstractNumId="3">
    <w:nsid w:val="FFFFFF7F"/>
    <w:multiLevelType w:val="singleLevel"/>
    <w:tmpl w:val="5A9A56E4"/>
    <w:lvl w:ilvl="0">
      <w:start w:val="1"/>
      <w:numFmt w:val="decimal"/>
      <w:pStyle w:val="2"/>
      <w:lvlText w:val="%1."/>
      <w:lvlJc w:val="left"/>
      <w:pPr>
        <w:tabs>
          <w:tab w:val="num" w:pos="720"/>
        </w:tabs>
        <w:ind w:left="720" w:hanging="360"/>
      </w:pPr>
    </w:lvl>
  </w:abstractNum>
  <w:abstractNum w:abstractNumId="4">
    <w:nsid w:val="FFFFFF80"/>
    <w:multiLevelType w:val="singleLevel"/>
    <w:tmpl w:val="C9509B0C"/>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C13CA3C8"/>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062293A0"/>
    <w:lvl w:ilvl="0">
      <w:start w:val="1"/>
      <w:numFmt w:val="bullet"/>
      <w:pStyle w:val="30"/>
      <w:lvlText w:val=""/>
      <w:lvlJc w:val="left"/>
      <w:pPr>
        <w:tabs>
          <w:tab w:val="num" w:pos="340"/>
        </w:tabs>
        <w:ind w:left="340" w:firstLine="380"/>
      </w:pPr>
      <w:rPr>
        <w:rFonts w:ascii="Symbol" w:hAnsi="Symbol" w:hint="default"/>
      </w:rPr>
    </w:lvl>
  </w:abstractNum>
  <w:abstractNum w:abstractNumId="7">
    <w:nsid w:val="FFFFFF88"/>
    <w:multiLevelType w:val="singleLevel"/>
    <w:tmpl w:val="4FB2F7F0"/>
    <w:lvl w:ilvl="0">
      <w:start w:val="1"/>
      <w:numFmt w:val="decimal"/>
      <w:pStyle w:val="a"/>
      <w:lvlText w:val="%1."/>
      <w:lvlJc w:val="left"/>
      <w:pPr>
        <w:tabs>
          <w:tab w:val="num" w:pos="360"/>
        </w:tabs>
        <w:ind w:left="360" w:hanging="360"/>
      </w:pPr>
    </w:lvl>
  </w:abstractNum>
  <w:abstractNum w:abstractNumId="8">
    <w:nsid w:val="013A4FAB"/>
    <w:multiLevelType w:val="multilevel"/>
    <w:tmpl w:val="233E8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24360D7"/>
    <w:multiLevelType w:val="multilevel"/>
    <w:tmpl w:val="B600C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2D13752"/>
    <w:multiLevelType w:val="hybridMultilevel"/>
    <w:tmpl w:val="D1146608"/>
    <w:lvl w:ilvl="0" w:tplc="44783F5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D431FA"/>
    <w:multiLevelType w:val="multilevel"/>
    <w:tmpl w:val="F7CE2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C1122FB"/>
    <w:multiLevelType w:val="multilevel"/>
    <w:tmpl w:val="FB220DB4"/>
    <w:styleLink w:val="StyleBulletedCourierNewBoldLeft05cmHanging204cm"/>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1440" w:hanging="360"/>
      </w:pPr>
      <w:rPr>
        <w:rFonts w:ascii="Courier New" w:hAnsi="Courier New"/>
        <w:b/>
        <w:bCs/>
        <w:sz w:val="22"/>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0CC06134"/>
    <w:multiLevelType w:val="multilevel"/>
    <w:tmpl w:val="9EE43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D5A78E8"/>
    <w:multiLevelType w:val="multilevel"/>
    <w:tmpl w:val="7758C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26A3336"/>
    <w:multiLevelType w:val="multilevel"/>
    <w:tmpl w:val="D29C2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2FB616F"/>
    <w:multiLevelType w:val="multilevel"/>
    <w:tmpl w:val="328A26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eorgia" w:eastAsia="Times New Roman" w:hAnsi="Georgia"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F90704"/>
    <w:multiLevelType w:val="multilevel"/>
    <w:tmpl w:val="CB6C97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F361F77"/>
    <w:multiLevelType w:val="multilevel"/>
    <w:tmpl w:val="AB3A5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FAE117E"/>
    <w:multiLevelType w:val="multilevel"/>
    <w:tmpl w:val="A3E2A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FC32ABB"/>
    <w:multiLevelType w:val="multilevel"/>
    <w:tmpl w:val="F322E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38B38D3"/>
    <w:multiLevelType w:val="hybridMultilevel"/>
    <w:tmpl w:val="8404FF2C"/>
    <w:lvl w:ilvl="0" w:tplc="5A18FC66">
      <w:start w:val="1"/>
      <w:numFmt w:val="bullet"/>
      <w:pStyle w:val="Relevancetablelist"/>
      <w:lvlText w:val=""/>
      <w:lvlJc w:val="left"/>
      <w:pPr>
        <w:tabs>
          <w:tab w:val="num" w:pos="170"/>
        </w:tabs>
        <w:ind w:left="170" w:hanging="17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24422813"/>
    <w:multiLevelType w:val="hybridMultilevel"/>
    <w:tmpl w:val="38F68AA8"/>
    <w:lvl w:ilvl="0" w:tplc="C8DA0580">
      <w:start w:val="1"/>
      <w:numFmt w:val="bullet"/>
      <w:pStyle w:val="Tabletext2bullet"/>
      <w:lvlText w:val=""/>
      <w:lvlJc w:val="left"/>
      <w:pPr>
        <w:tabs>
          <w:tab w:val="num" w:pos="587"/>
        </w:tabs>
        <w:ind w:left="587" w:hanging="227"/>
      </w:pPr>
      <w:rPr>
        <w:rFonts w:ascii="Symbol" w:hAnsi="Symbol"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nsid w:val="24C02136"/>
    <w:multiLevelType w:val="hybridMultilevel"/>
    <w:tmpl w:val="8EFE08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255A1FE5"/>
    <w:multiLevelType w:val="multilevel"/>
    <w:tmpl w:val="A9C6A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5741970"/>
    <w:multiLevelType w:val="multilevel"/>
    <w:tmpl w:val="4A96C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6CC0714"/>
    <w:multiLevelType w:val="multilevel"/>
    <w:tmpl w:val="5EC62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6E02489"/>
    <w:multiLevelType w:val="multilevel"/>
    <w:tmpl w:val="BDC81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6E96FE2"/>
    <w:multiLevelType w:val="hybridMultilevel"/>
    <w:tmpl w:val="FB220DB4"/>
    <w:lvl w:ilvl="0" w:tplc="C8DA0580">
      <w:start w:val="1"/>
      <w:numFmt w:val="bullet"/>
      <w:pStyle w:val="Tabletextbullet"/>
      <w:lvlText w:val=""/>
      <w:lvlJc w:val="left"/>
      <w:pPr>
        <w:tabs>
          <w:tab w:val="num" w:pos="227"/>
        </w:tabs>
        <w:ind w:left="227" w:hanging="227"/>
      </w:pPr>
      <w:rPr>
        <w:rFonts w:ascii="Symbol" w:hAnsi="Symbol" w:hint="default"/>
      </w:rPr>
    </w:lvl>
    <w:lvl w:ilvl="1" w:tplc="5F4C4D56">
      <w:start w:val="1"/>
      <w:numFmt w:val="bullet"/>
      <w:lvlText w:val="­"/>
      <w:lvlJc w:val="left"/>
      <w:pPr>
        <w:ind w:left="1440" w:hanging="360"/>
      </w:pPr>
      <w:rPr>
        <w:rFonts w:ascii="Courier New" w:hAnsi="Courier New" w:hint="default"/>
      </w:rPr>
    </w:lvl>
    <w:lvl w:ilvl="2" w:tplc="5F4C4D56">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F54F34"/>
    <w:multiLevelType w:val="multilevel"/>
    <w:tmpl w:val="61FC8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B4E1C2C"/>
    <w:multiLevelType w:val="hybridMultilevel"/>
    <w:tmpl w:val="91E80A56"/>
    <w:lvl w:ilvl="0" w:tplc="F4168B2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9C510C"/>
    <w:multiLevelType w:val="multilevel"/>
    <w:tmpl w:val="576AFDBA"/>
    <w:styleLink w:val="StyleOutlinenumberedCourierNewBoldLeft0cmHanging01"/>
    <w:lvl w:ilvl="0">
      <w:start w:val="1"/>
      <w:numFmt w:val="bullet"/>
      <w:lvlText w:val=""/>
      <w:lvlJc w:val="left"/>
      <w:pPr>
        <w:tabs>
          <w:tab w:val="num" w:pos="340"/>
        </w:tabs>
        <w:ind w:left="340" w:hanging="340"/>
      </w:pPr>
      <w:rPr>
        <w:rFonts w:ascii="Symbol" w:hAnsi="Symbol" w:hint="default"/>
        <w:sz w:val="22"/>
      </w:rPr>
    </w:lvl>
    <w:lvl w:ilvl="1">
      <w:start w:val="1"/>
      <w:numFmt w:val="bullet"/>
      <w:lvlText w:val="-"/>
      <w:lvlJc w:val="left"/>
      <w:pPr>
        <w:tabs>
          <w:tab w:val="num" w:pos="680"/>
        </w:tabs>
        <w:ind w:left="680" w:hanging="340"/>
      </w:pPr>
      <w:rPr>
        <w:rFonts w:ascii="Courier New" w:hAnsi="Courier New"/>
        <w:b/>
        <w:bCs/>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2FF21F71"/>
    <w:multiLevelType w:val="multilevel"/>
    <w:tmpl w:val="B3E4E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1AA7BB8"/>
    <w:multiLevelType w:val="multilevel"/>
    <w:tmpl w:val="045A6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56B15F6"/>
    <w:multiLevelType w:val="hybridMultilevel"/>
    <w:tmpl w:val="F996B75C"/>
    <w:lvl w:ilvl="0" w:tplc="A6DCBB10">
      <w:start w:val="1"/>
      <w:numFmt w:val="decimal"/>
      <w:pStyle w:val="Literaturereferences"/>
      <w:lvlText w:val="%1)"/>
      <w:lvlJc w:val="left"/>
      <w:pPr>
        <w:tabs>
          <w:tab w:val="num" w:pos="1060"/>
        </w:tabs>
        <w:ind w:left="1060" w:hanging="340"/>
      </w:pPr>
      <w:rPr>
        <w:rFonts w:hint="default"/>
      </w:rPr>
    </w:lvl>
    <w:lvl w:ilvl="1" w:tplc="0414000B" w:tentative="1">
      <w:start w:val="1"/>
      <w:numFmt w:val="lowerLetter"/>
      <w:lvlText w:val="%2."/>
      <w:lvlJc w:val="left"/>
      <w:pPr>
        <w:tabs>
          <w:tab w:val="num" w:pos="1440"/>
        </w:tabs>
        <w:ind w:left="1440" w:hanging="360"/>
      </w:pPr>
    </w:lvl>
    <w:lvl w:ilvl="2" w:tplc="04140005" w:tentative="1">
      <w:start w:val="1"/>
      <w:numFmt w:val="lowerRoman"/>
      <w:lvlText w:val="%3."/>
      <w:lvlJc w:val="right"/>
      <w:pPr>
        <w:tabs>
          <w:tab w:val="num" w:pos="2160"/>
        </w:tabs>
        <w:ind w:left="2160" w:hanging="180"/>
      </w:pPr>
    </w:lvl>
    <w:lvl w:ilvl="3" w:tplc="04140001" w:tentative="1">
      <w:start w:val="1"/>
      <w:numFmt w:val="decimal"/>
      <w:lvlText w:val="%4."/>
      <w:lvlJc w:val="left"/>
      <w:pPr>
        <w:tabs>
          <w:tab w:val="num" w:pos="2880"/>
        </w:tabs>
        <w:ind w:left="2880" w:hanging="360"/>
      </w:pPr>
    </w:lvl>
    <w:lvl w:ilvl="4" w:tplc="04140003" w:tentative="1">
      <w:start w:val="1"/>
      <w:numFmt w:val="lowerLetter"/>
      <w:lvlText w:val="%5."/>
      <w:lvlJc w:val="left"/>
      <w:pPr>
        <w:tabs>
          <w:tab w:val="num" w:pos="3600"/>
        </w:tabs>
        <w:ind w:left="3600" w:hanging="360"/>
      </w:pPr>
    </w:lvl>
    <w:lvl w:ilvl="5" w:tplc="04140005" w:tentative="1">
      <w:start w:val="1"/>
      <w:numFmt w:val="lowerRoman"/>
      <w:lvlText w:val="%6."/>
      <w:lvlJc w:val="right"/>
      <w:pPr>
        <w:tabs>
          <w:tab w:val="num" w:pos="4320"/>
        </w:tabs>
        <w:ind w:left="4320" w:hanging="180"/>
      </w:pPr>
    </w:lvl>
    <w:lvl w:ilvl="6" w:tplc="04140001" w:tentative="1">
      <w:start w:val="1"/>
      <w:numFmt w:val="decimal"/>
      <w:lvlText w:val="%7."/>
      <w:lvlJc w:val="left"/>
      <w:pPr>
        <w:tabs>
          <w:tab w:val="num" w:pos="5040"/>
        </w:tabs>
        <w:ind w:left="5040" w:hanging="360"/>
      </w:pPr>
    </w:lvl>
    <w:lvl w:ilvl="7" w:tplc="04140003" w:tentative="1">
      <w:start w:val="1"/>
      <w:numFmt w:val="lowerLetter"/>
      <w:lvlText w:val="%8."/>
      <w:lvlJc w:val="left"/>
      <w:pPr>
        <w:tabs>
          <w:tab w:val="num" w:pos="5760"/>
        </w:tabs>
        <w:ind w:left="5760" w:hanging="360"/>
      </w:pPr>
    </w:lvl>
    <w:lvl w:ilvl="8" w:tplc="04140005" w:tentative="1">
      <w:start w:val="1"/>
      <w:numFmt w:val="lowerRoman"/>
      <w:lvlText w:val="%9."/>
      <w:lvlJc w:val="right"/>
      <w:pPr>
        <w:tabs>
          <w:tab w:val="num" w:pos="6480"/>
        </w:tabs>
        <w:ind w:left="6480" w:hanging="180"/>
      </w:pPr>
    </w:lvl>
  </w:abstractNum>
  <w:abstractNum w:abstractNumId="35">
    <w:nsid w:val="396C3648"/>
    <w:multiLevelType w:val="multilevel"/>
    <w:tmpl w:val="462C7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3A686656"/>
    <w:multiLevelType w:val="multilevel"/>
    <w:tmpl w:val="8F8ED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3E963F36"/>
    <w:multiLevelType w:val="multilevel"/>
    <w:tmpl w:val="04140023"/>
    <w:styleLink w:val="a0"/>
    <w:lvl w:ilvl="0">
      <w:start w:val="1"/>
      <w:numFmt w:val="upperRoman"/>
      <w:lvlText w:val="Artikkel %1."/>
      <w:lvlJc w:val="left"/>
      <w:pPr>
        <w:tabs>
          <w:tab w:val="num" w:pos="1440"/>
        </w:tabs>
        <w:ind w:left="0" w:firstLine="0"/>
      </w:pPr>
    </w:lvl>
    <w:lvl w:ilvl="1">
      <w:start w:val="1"/>
      <w:numFmt w:val="decimalZero"/>
      <w:isLgl/>
      <w:lvlText w:val="Inndeling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F8D5387"/>
    <w:multiLevelType w:val="multilevel"/>
    <w:tmpl w:val="3160B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3D62925"/>
    <w:multiLevelType w:val="hybridMultilevel"/>
    <w:tmpl w:val="63B20D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471772C8"/>
    <w:multiLevelType w:val="multilevel"/>
    <w:tmpl w:val="7A849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4AA735BA"/>
    <w:multiLevelType w:val="multilevel"/>
    <w:tmpl w:val="ADEA8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ADE6527"/>
    <w:multiLevelType w:val="multilevel"/>
    <w:tmpl w:val="C2A85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4BF06BE7"/>
    <w:multiLevelType w:val="multilevel"/>
    <w:tmpl w:val="92BCA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0BE44DE"/>
    <w:multiLevelType w:val="multilevel"/>
    <w:tmpl w:val="8FBEF1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5A67D24"/>
    <w:multiLevelType w:val="multilevel"/>
    <w:tmpl w:val="655E2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82140E4"/>
    <w:multiLevelType w:val="multilevel"/>
    <w:tmpl w:val="76A06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DFD7DD0"/>
    <w:multiLevelType w:val="hybridMultilevel"/>
    <w:tmpl w:val="8BC48A16"/>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nsid w:val="629958C3"/>
    <w:multiLevelType w:val="hybridMultilevel"/>
    <w:tmpl w:val="0A58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3672A36"/>
    <w:multiLevelType w:val="multilevel"/>
    <w:tmpl w:val="D228E554"/>
    <w:lvl w:ilvl="0">
      <w:start w:val="1"/>
      <w:numFmt w:val="bullet"/>
      <w:pStyle w:val="a1"/>
      <w:lvlText w:val=""/>
      <w:lvlJc w:val="left"/>
      <w:pPr>
        <w:tabs>
          <w:tab w:val="num" w:pos="340"/>
        </w:tabs>
        <w:ind w:left="340" w:hanging="340"/>
      </w:pPr>
      <w:rPr>
        <w:rFonts w:ascii="Symbol" w:hAnsi="Symbol" w:hint="default"/>
        <w:sz w:val="22"/>
      </w:rPr>
    </w:lvl>
    <w:lvl w:ilvl="1">
      <w:start w:val="1"/>
      <w:numFmt w:val="bullet"/>
      <w:pStyle w:val="20"/>
      <w:lvlText w:val="-"/>
      <w:lvlJc w:val="left"/>
      <w:pPr>
        <w:tabs>
          <w:tab w:val="num" w:pos="680"/>
        </w:tabs>
        <w:ind w:left="680" w:hanging="340"/>
      </w:pPr>
      <w:rPr>
        <w:rFonts w:ascii="Courier New" w:hAnsi="Courier New" w:hint="default"/>
      </w:rPr>
    </w:lvl>
    <w:lvl w:ilvl="2">
      <w:start w:val="1"/>
      <w:numFmt w:val="bullet"/>
      <w:pStyle w:val="31"/>
      <w:lvlText w:val=""/>
      <w:lvlJc w:val="left"/>
      <w:pPr>
        <w:tabs>
          <w:tab w:val="num" w:pos="2160"/>
        </w:tabs>
        <w:ind w:left="2160" w:hanging="360"/>
      </w:pPr>
      <w:rPr>
        <w:rFonts w:ascii="Wingdings" w:hAnsi="Wingdings" w:hint="default"/>
      </w:rPr>
    </w:lvl>
    <w:lvl w:ilvl="3">
      <w:start w:val="1"/>
      <w:numFmt w:val="bullet"/>
      <w:pStyle w:val="41"/>
      <w:lvlText w:val=""/>
      <w:lvlJc w:val="left"/>
      <w:pPr>
        <w:tabs>
          <w:tab w:val="num" w:pos="2880"/>
        </w:tabs>
        <w:ind w:left="2880" w:hanging="360"/>
      </w:pPr>
      <w:rPr>
        <w:rFonts w:ascii="Symbol" w:hAnsi="Symbol" w:hint="default"/>
      </w:rPr>
    </w:lvl>
    <w:lvl w:ilvl="4">
      <w:start w:val="1"/>
      <w:numFmt w:val="bullet"/>
      <w:pStyle w:val="51"/>
      <w:lvlText w:val="o"/>
      <w:lvlJc w:val="left"/>
      <w:pPr>
        <w:tabs>
          <w:tab w:val="num" w:pos="3600"/>
        </w:tabs>
        <w:ind w:left="3600" w:hanging="360"/>
      </w:pPr>
      <w:rPr>
        <w:rFonts w:ascii="Courier New" w:hAnsi="Courier New" w:hint="default"/>
      </w:rPr>
    </w:lvl>
    <w:lvl w:ilvl="5">
      <w:start w:val="1"/>
      <w:numFmt w:val="bullet"/>
      <w:pStyle w:val="6"/>
      <w:lvlText w:val=""/>
      <w:lvlJc w:val="left"/>
      <w:pPr>
        <w:tabs>
          <w:tab w:val="num" w:pos="4320"/>
        </w:tabs>
        <w:ind w:left="4320" w:hanging="360"/>
      </w:pPr>
      <w:rPr>
        <w:rFonts w:ascii="Wingdings" w:hAnsi="Wingdings" w:hint="default"/>
      </w:rPr>
    </w:lvl>
    <w:lvl w:ilvl="6">
      <w:start w:val="1"/>
      <w:numFmt w:val="bullet"/>
      <w:pStyle w:val="7"/>
      <w:lvlText w:val=""/>
      <w:lvlJc w:val="left"/>
      <w:pPr>
        <w:tabs>
          <w:tab w:val="num" w:pos="5040"/>
        </w:tabs>
        <w:ind w:left="5040" w:hanging="360"/>
      </w:pPr>
      <w:rPr>
        <w:rFonts w:ascii="Symbol" w:hAnsi="Symbol" w:hint="default"/>
      </w:rPr>
    </w:lvl>
    <w:lvl w:ilvl="7">
      <w:start w:val="1"/>
      <w:numFmt w:val="bullet"/>
      <w:pStyle w:val="8"/>
      <w:lvlText w:val="o"/>
      <w:lvlJc w:val="left"/>
      <w:pPr>
        <w:tabs>
          <w:tab w:val="num" w:pos="5760"/>
        </w:tabs>
        <w:ind w:left="5760" w:hanging="360"/>
      </w:pPr>
      <w:rPr>
        <w:rFonts w:ascii="Courier New" w:hAnsi="Courier New" w:hint="default"/>
      </w:rPr>
    </w:lvl>
    <w:lvl w:ilvl="8">
      <w:start w:val="1"/>
      <w:numFmt w:val="bullet"/>
      <w:pStyle w:val="9"/>
      <w:lvlText w:val=""/>
      <w:lvlJc w:val="left"/>
      <w:pPr>
        <w:tabs>
          <w:tab w:val="num" w:pos="6480"/>
        </w:tabs>
        <w:ind w:left="6480" w:hanging="360"/>
      </w:pPr>
      <w:rPr>
        <w:rFonts w:ascii="Wingdings" w:hAnsi="Wingdings" w:hint="default"/>
      </w:rPr>
    </w:lvl>
  </w:abstractNum>
  <w:abstractNum w:abstractNumId="50">
    <w:nsid w:val="64974D1F"/>
    <w:multiLevelType w:val="multilevel"/>
    <w:tmpl w:val="C2421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5E421C5"/>
    <w:multiLevelType w:val="multilevel"/>
    <w:tmpl w:val="740A2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669188B"/>
    <w:multiLevelType w:val="multilevel"/>
    <w:tmpl w:val="576AFDBA"/>
    <w:styleLink w:val="StyleOutlinenumberedCourierNewBoldLeft0cmHanging0"/>
    <w:lvl w:ilvl="0">
      <w:start w:val="1"/>
      <w:numFmt w:val="bullet"/>
      <w:lvlText w:val=""/>
      <w:lvlJc w:val="left"/>
      <w:pPr>
        <w:tabs>
          <w:tab w:val="num" w:pos="340"/>
        </w:tabs>
        <w:ind w:left="340" w:hanging="340"/>
      </w:pPr>
      <w:rPr>
        <w:rFonts w:ascii="Symbol" w:hAnsi="Symbol" w:hint="default"/>
        <w:sz w:val="22"/>
      </w:rPr>
    </w:lvl>
    <w:lvl w:ilvl="1">
      <w:start w:val="1"/>
      <w:numFmt w:val="bullet"/>
      <w:lvlText w:val="-"/>
      <w:lvlJc w:val="left"/>
      <w:pPr>
        <w:tabs>
          <w:tab w:val="num" w:pos="680"/>
        </w:tabs>
        <w:ind w:left="680" w:hanging="340"/>
      </w:pPr>
      <w:rPr>
        <w:rFonts w:ascii="Courier New" w:hAnsi="Courier New"/>
        <w:b/>
        <w:bCs/>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68584E85"/>
    <w:multiLevelType w:val="multilevel"/>
    <w:tmpl w:val="F9061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69A52D26"/>
    <w:multiLevelType w:val="hybridMultilevel"/>
    <w:tmpl w:val="F438AE70"/>
    <w:lvl w:ilvl="0" w:tplc="38F0C452">
      <w:start w:val="21"/>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5">
    <w:nsid w:val="6BA84BE5"/>
    <w:multiLevelType w:val="multilevel"/>
    <w:tmpl w:val="BF76A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DA409C0"/>
    <w:multiLevelType w:val="multilevel"/>
    <w:tmpl w:val="9D428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DB2116C"/>
    <w:multiLevelType w:val="multilevel"/>
    <w:tmpl w:val="3392F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70AB24C6"/>
    <w:multiLevelType w:val="multilevel"/>
    <w:tmpl w:val="D2349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7130143B"/>
    <w:multiLevelType w:val="multilevel"/>
    <w:tmpl w:val="99CCC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773D2CDD"/>
    <w:multiLevelType w:val="multilevel"/>
    <w:tmpl w:val="C47E8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79050086"/>
    <w:multiLevelType w:val="multilevel"/>
    <w:tmpl w:val="82CC37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7CAF2C47"/>
    <w:multiLevelType w:val="multilevel"/>
    <w:tmpl w:val="A342C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7E432A4D"/>
    <w:multiLevelType w:val="multilevel"/>
    <w:tmpl w:val="0A245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2"/>
  </w:num>
  <w:num w:numId="8">
    <w:abstractNumId w:val="7"/>
  </w:num>
  <w:num w:numId="9">
    <w:abstractNumId w:val="34"/>
  </w:num>
  <w:num w:numId="10">
    <w:abstractNumId w:val="37"/>
  </w:num>
  <w:num w:numId="11">
    <w:abstractNumId w:val="49"/>
  </w:num>
  <w:num w:numId="12">
    <w:abstractNumId w:val="52"/>
  </w:num>
  <w:num w:numId="13">
    <w:abstractNumId w:val="31"/>
  </w:num>
  <w:num w:numId="14">
    <w:abstractNumId w:val="12"/>
  </w:num>
  <w:num w:numId="15">
    <w:abstractNumId w:val="22"/>
  </w:num>
  <w:num w:numId="16">
    <w:abstractNumId w:val="28"/>
  </w:num>
  <w:num w:numId="17">
    <w:abstractNumId w:val="48"/>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23"/>
  </w:num>
  <w:num w:numId="59">
    <w:abstractNumId w:val="16"/>
  </w:num>
  <w:num w:numId="60">
    <w:abstractNumId w:val="47"/>
  </w:num>
  <w:num w:numId="61">
    <w:abstractNumId w:val="39"/>
  </w:num>
  <w:num w:numId="62">
    <w:abstractNumId w:val="10"/>
  </w:num>
  <w:num w:numId="63">
    <w:abstractNumId w:val="54"/>
  </w:num>
  <w:num w:numId="64">
    <w:abstractNumId w:val="30"/>
  </w:num>
  <w:num w:numId="65">
    <w:abstractNumId w:val="49"/>
  </w:num>
  <w:num w:numId="66">
    <w:abstractNumId w:val="28"/>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ED1C66"/>
    <w:rsid w:val="0005143D"/>
    <w:rsid w:val="000B3CD6"/>
    <w:rsid w:val="000D044E"/>
    <w:rsid w:val="001137DE"/>
    <w:rsid w:val="001140EE"/>
    <w:rsid w:val="001E0F19"/>
    <w:rsid w:val="00202B10"/>
    <w:rsid w:val="00204467"/>
    <w:rsid w:val="0021476C"/>
    <w:rsid w:val="00265596"/>
    <w:rsid w:val="002B1358"/>
    <w:rsid w:val="002B71CE"/>
    <w:rsid w:val="00302407"/>
    <w:rsid w:val="003C1176"/>
    <w:rsid w:val="003C3E0B"/>
    <w:rsid w:val="00435B8F"/>
    <w:rsid w:val="004A331F"/>
    <w:rsid w:val="004B4975"/>
    <w:rsid w:val="004B5285"/>
    <w:rsid w:val="004E2A63"/>
    <w:rsid w:val="004E3D80"/>
    <w:rsid w:val="005F5C6B"/>
    <w:rsid w:val="00616EEC"/>
    <w:rsid w:val="00663354"/>
    <w:rsid w:val="00673431"/>
    <w:rsid w:val="006B637D"/>
    <w:rsid w:val="00746324"/>
    <w:rsid w:val="0075275D"/>
    <w:rsid w:val="007658C4"/>
    <w:rsid w:val="0079338B"/>
    <w:rsid w:val="007B226E"/>
    <w:rsid w:val="007B49B5"/>
    <w:rsid w:val="007B5C2A"/>
    <w:rsid w:val="007F3BF7"/>
    <w:rsid w:val="00845182"/>
    <w:rsid w:val="008508FC"/>
    <w:rsid w:val="00852BF9"/>
    <w:rsid w:val="008D3713"/>
    <w:rsid w:val="00905827"/>
    <w:rsid w:val="00A80AD2"/>
    <w:rsid w:val="00AE08EE"/>
    <w:rsid w:val="00B51A61"/>
    <w:rsid w:val="00B76419"/>
    <w:rsid w:val="00B95EA6"/>
    <w:rsid w:val="00C65797"/>
    <w:rsid w:val="00C92EA7"/>
    <w:rsid w:val="00D31780"/>
    <w:rsid w:val="00D8427B"/>
    <w:rsid w:val="00DA53AF"/>
    <w:rsid w:val="00DA73DE"/>
    <w:rsid w:val="00E23E2B"/>
    <w:rsid w:val="00E3070E"/>
    <w:rsid w:val="00E33B55"/>
    <w:rsid w:val="00E75A56"/>
    <w:rsid w:val="00EA1F1D"/>
    <w:rsid w:val="00EA7D99"/>
    <w:rsid w:val="00ED1C66"/>
    <w:rsid w:val="00ED54B6"/>
    <w:rsid w:val="00EE0715"/>
    <w:rsid w:val="00F15111"/>
    <w:rsid w:val="00F311B5"/>
    <w:rsid w:val="00F83DB0"/>
    <w:rsid w:val="00FB75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List Bullet" w:qFormat="1"/>
    <w:lsdException w:name="List Bullet 2" w:uiPriority="99"/>
    <w:lsdException w:name="Title" w:semiHidden="0" w:uiPriority="10" w:unhideWhenUsed="0" w:qFormat="1"/>
    <w:lsdException w:name="Default Paragraph Font" w:uiPriority="1"/>
    <w:lsdException w:name="Subtitle" w:semiHidden="0" w:uiPriority="11" w:unhideWhenUsed="0" w:qFormat="1"/>
    <w:lsdException w:name="Hyperlink" w:uiPriority="99"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61"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64"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04467"/>
  </w:style>
  <w:style w:type="paragraph" w:styleId="1">
    <w:name w:val="heading 1"/>
    <w:basedOn w:val="a2"/>
    <w:next w:val="a2"/>
    <w:link w:val="1Char"/>
    <w:qFormat/>
    <w:rsid w:val="00ED1C66"/>
    <w:pPr>
      <w:keepNext/>
      <w:keepLines/>
      <w:tabs>
        <w:tab w:val="num" w:pos="340"/>
      </w:tabs>
      <w:spacing w:before="480" w:after="0"/>
      <w:ind w:left="340" w:hanging="34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next w:val="a2"/>
    <w:link w:val="2Char"/>
    <w:qFormat/>
    <w:rsid w:val="00ED1C66"/>
    <w:pPr>
      <w:keepNext/>
      <w:numPr>
        <w:ilvl w:val="1"/>
        <w:numId w:val="11"/>
      </w:numPr>
      <w:spacing w:before="240" w:after="60" w:line="240" w:lineRule="auto"/>
      <w:outlineLvl w:val="1"/>
    </w:pPr>
    <w:rPr>
      <w:rFonts w:ascii="Arial" w:eastAsia="Times New Roman" w:hAnsi="Arial" w:cs="Arial"/>
      <w:b/>
      <w:bCs/>
      <w:szCs w:val="28"/>
    </w:rPr>
  </w:style>
  <w:style w:type="paragraph" w:styleId="31">
    <w:name w:val="heading 3"/>
    <w:basedOn w:val="a2"/>
    <w:next w:val="a2"/>
    <w:link w:val="3Char"/>
    <w:qFormat/>
    <w:rsid w:val="007F3BF7"/>
    <w:pPr>
      <w:keepNext/>
      <w:numPr>
        <w:ilvl w:val="2"/>
        <w:numId w:val="11"/>
      </w:numPr>
      <w:tabs>
        <w:tab w:val="clear" w:pos="2160"/>
        <w:tab w:val="left" w:pos="510"/>
      </w:tabs>
      <w:spacing w:after="120" w:line="326" w:lineRule="atLeast"/>
      <w:ind w:left="720" w:hanging="432"/>
      <w:outlineLvl w:val="2"/>
    </w:pPr>
    <w:rPr>
      <w:rFonts w:ascii="Georgia" w:eastAsia="Times New Roman" w:hAnsi="Georgia" w:cs="Times New Roman"/>
      <w:b/>
      <w:szCs w:val="26"/>
      <w:lang w:val="nb-NO" w:eastAsia="nb-NO"/>
    </w:rPr>
  </w:style>
  <w:style w:type="paragraph" w:styleId="41">
    <w:name w:val="heading 4"/>
    <w:basedOn w:val="a2"/>
    <w:next w:val="a2"/>
    <w:link w:val="4Char"/>
    <w:qFormat/>
    <w:rsid w:val="007F3BF7"/>
    <w:pPr>
      <w:keepNext/>
      <w:numPr>
        <w:ilvl w:val="3"/>
        <w:numId w:val="11"/>
      </w:numPr>
      <w:tabs>
        <w:tab w:val="clear" w:pos="2880"/>
        <w:tab w:val="left" w:pos="510"/>
      </w:tabs>
      <w:spacing w:after="20" w:line="326" w:lineRule="atLeast"/>
      <w:ind w:left="864" w:hanging="144"/>
      <w:outlineLvl w:val="3"/>
    </w:pPr>
    <w:rPr>
      <w:rFonts w:ascii="Georgia" w:eastAsia="Times New Roman" w:hAnsi="Georgia" w:cs="Times New Roman"/>
      <w:b/>
      <w:i/>
      <w:szCs w:val="28"/>
      <w:lang w:val="nb-NO" w:eastAsia="nb-NO"/>
    </w:rPr>
  </w:style>
  <w:style w:type="paragraph" w:styleId="51">
    <w:name w:val="heading 5"/>
    <w:basedOn w:val="a2"/>
    <w:next w:val="a2"/>
    <w:link w:val="5Char"/>
    <w:qFormat/>
    <w:rsid w:val="007F3BF7"/>
    <w:pPr>
      <w:numPr>
        <w:ilvl w:val="4"/>
        <w:numId w:val="11"/>
      </w:numPr>
      <w:tabs>
        <w:tab w:val="clear" w:pos="3600"/>
        <w:tab w:val="left" w:pos="510"/>
      </w:tabs>
      <w:spacing w:after="0" w:line="326" w:lineRule="atLeast"/>
      <w:ind w:left="1008" w:hanging="432"/>
      <w:outlineLvl w:val="4"/>
    </w:pPr>
    <w:rPr>
      <w:rFonts w:ascii="Georgia" w:eastAsia="Times New Roman" w:hAnsi="Georgia" w:cs="Times New Roman"/>
      <w:i/>
      <w:szCs w:val="26"/>
      <w:lang w:val="nb-NO" w:eastAsia="nb-NO"/>
    </w:rPr>
  </w:style>
  <w:style w:type="paragraph" w:styleId="6">
    <w:name w:val="heading 6"/>
    <w:basedOn w:val="a2"/>
    <w:next w:val="a2"/>
    <w:link w:val="6Char"/>
    <w:qFormat/>
    <w:rsid w:val="007F3BF7"/>
    <w:pPr>
      <w:numPr>
        <w:ilvl w:val="5"/>
        <w:numId w:val="11"/>
      </w:numPr>
      <w:tabs>
        <w:tab w:val="clear" w:pos="4320"/>
        <w:tab w:val="left" w:pos="510"/>
      </w:tabs>
      <w:spacing w:before="240" w:after="60" w:line="326" w:lineRule="atLeast"/>
      <w:ind w:left="1152" w:hanging="432"/>
      <w:outlineLvl w:val="5"/>
    </w:pPr>
    <w:rPr>
      <w:rFonts w:ascii="Georgia" w:eastAsia="Times New Roman" w:hAnsi="Georgia" w:cs="Times New Roman"/>
      <w:b/>
      <w:sz w:val="18"/>
      <w:lang w:val="nb-NO" w:eastAsia="nb-NO"/>
    </w:rPr>
  </w:style>
  <w:style w:type="paragraph" w:styleId="7">
    <w:name w:val="heading 7"/>
    <w:basedOn w:val="a2"/>
    <w:next w:val="a2"/>
    <w:link w:val="7Char"/>
    <w:qFormat/>
    <w:rsid w:val="007F3BF7"/>
    <w:pPr>
      <w:numPr>
        <w:ilvl w:val="6"/>
        <w:numId w:val="11"/>
      </w:numPr>
      <w:tabs>
        <w:tab w:val="clear" w:pos="5040"/>
        <w:tab w:val="left" w:pos="510"/>
      </w:tabs>
      <w:spacing w:before="240" w:after="60" w:line="326" w:lineRule="atLeast"/>
      <w:ind w:left="1296" w:hanging="288"/>
      <w:outlineLvl w:val="6"/>
    </w:pPr>
    <w:rPr>
      <w:rFonts w:ascii="Georgia" w:eastAsia="Times New Roman" w:hAnsi="Georgia" w:cs="Times New Roman"/>
      <w:sz w:val="18"/>
      <w:szCs w:val="21"/>
      <w:lang w:val="nb-NO" w:eastAsia="nb-NO"/>
    </w:rPr>
  </w:style>
  <w:style w:type="paragraph" w:styleId="8">
    <w:name w:val="heading 8"/>
    <w:basedOn w:val="a2"/>
    <w:next w:val="a2"/>
    <w:link w:val="8Char"/>
    <w:qFormat/>
    <w:rsid w:val="007F3BF7"/>
    <w:pPr>
      <w:numPr>
        <w:ilvl w:val="7"/>
        <w:numId w:val="11"/>
      </w:numPr>
      <w:tabs>
        <w:tab w:val="clear" w:pos="5760"/>
        <w:tab w:val="left" w:pos="510"/>
      </w:tabs>
      <w:spacing w:before="240" w:after="60" w:line="326" w:lineRule="atLeast"/>
      <w:ind w:left="1440" w:hanging="432"/>
      <w:outlineLvl w:val="7"/>
    </w:pPr>
    <w:rPr>
      <w:rFonts w:ascii="Georgia" w:eastAsia="Times New Roman" w:hAnsi="Georgia" w:cs="Times New Roman"/>
      <w:i/>
      <w:sz w:val="18"/>
      <w:szCs w:val="21"/>
      <w:lang w:val="nb-NO" w:eastAsia="nb-NO"/>
    </w:rPr>
  </w:style>
  <w:style w:type="paragraph" w:styleId="9">
    <w:name w:val="heading 9"/>
    <w:basedOn w:val="a2"/>
    <w:next w:val="a2"/>
    <w:link w:val="9Char"/>
    <w:qFormat/>
    <w:rsid w:val="007F3BF7"/>
    <w:pPr>
      <w:numPr>
        <w:ilvl w:val="8"/>
        <w:numId w:val="11"/>
      </w:numPr>
      <w:tabs>
        <w:tab w:val="clear" w:pos="6480"/>
        <w:tab w:val="left" w:pos="510"/>
      </w:tabs>
      <w:spacing w:before="240" w:after="60" w:line="326" w:lineRule="atLeast"/>
      <w:ind w:left="1584" w:hanging="144"/>
      <w:outlineLvl w:val="8"/>
    </w:pPr>
    <w:rPr>
      <w:rFonts w:ascii="Sun Cd TFm" w:eastAsia="Times New Roman" w:hAnsi="Sun Cd TFm" w:cs="Times New Roman"/>
      <w:lang w:eastAsia="nb-NO"/>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Char"/>
    <w:qFormat/>
    <w:rsid w:val="00ED1C66"/>
    <w:pPr>
      <w:tabs>
        <w:tab w:val="left" w:pos="510"/>
      </w:tabs>
      <w:spacing w:after="0" w:line="240" w:lineRule="auto"/>
    </w:pPr>
    <w:rPr>
      <w:rFonts w:ascii="Georgia" w:eastAsia="Times New Roman" w:hAnsi="Georgia" w:cs="Times New Roman"/>
      <w:szCs w:val="21"/>
      <w:lang w:val="nb-NO" w:eastAsia="nb-NO"/>
    </w:rPr>
  </w:style>
  <w:style w:type="character" w:customStyle="1" w:styleId="Char">
    <w:name w:val="无间隔 Char"/>
    <w:basedOn w:val="a3"/>
    <w:link w:val="a6"/>
    <w:rsid w:val="00ED1C66"/>
    <w:rPr>
      <w:rFonts w:ascii="Georgia" w:eastAsia="Times New Roman" w:hAnsi="Georgia" w:cs="Times New Roman"/>
      <w:szCs w:val="21"/>
      <w:lang w:val="nb-NO" w:eastAsia="nb-NO"/>
    </w:rPr>
  </w:style>
  <w:style w:type="character" w:customStyle="1" w:styleId="apple-converted-space">
    <w:name w:val="apple-converted-space"/>
    <w:rsid w:val="00ED1C66"/>
    <w:rPr>
      <w:rFonts w:ascii="Times New Roman" w:hAnsi="Times New Roman" w:cs="Times New Roman"/>
    </w:rPr>
  </w:style>
  <w:style w:type="character" w:customStyle="1" w:styleId="dbname">
    <w:name w:val="dbname"/>
    <w:rsid w:val="00ED1C66"/>
    <w:rPr>
      <w:rFonts w:ascii="Times New Roman" w:hAnsi="Times New Roman" w:cs="Times New Roman"/>
    </w:rPr>
  </w:style>
  <w:style w:type="character" w:customStyle="1" w:styleId="searchhistory-search-term">
    <w:name w:val="searchhistory-search-term"/>
    <w:basedOn w:val="a3"/>
    <w:rsid w:val="00ED1C66"/>
  </w:style>
  <w:style w:type="character" w:customStyle="1" w:styleId="1Char">
    <w:name w:val="标题 1 Char"/>
    <w:basedOn w:val="a3"/>
    <w:link w:val="1"/>
    <w:rsid w:val="00ED1C66"/>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3"/>
    <w:link w:val="20"/>
    <w:rsid w:val="00ED1C66"/>
    <w:rPr>
      <w:rFonts w:ascii="Arial" w:eastAsia="Times New Roman" w:hAnsi="Arial" w:cs="Arial"/>
      <w:b/>
      <w:bCs/>
      <w:szCs w:val="28"/>
    </w:rPr>
  </w:style>
  <w:style w:type="character" w:styleId="a7">
    <w:name w:val="annotation reference"/>
    <w:basedOn w:val="a3"/>
    <w:unhideWhenUsed/>
    <w:rsid w:val="007658C4"/>
    <w:rPr>
      <w:sz w:val="16"/>
      <w:szCs w:val="16"/>
    </w:rPr>
  </w:style>
  <w:style w:type="paragraph" w:styleId="a8">
    <w:name w:val="annotation text"/>
    <w:basedOn w:val="a2"/>
    <w:link w:val="Char0"/>
    <w:unhideWhenUsed/>
    <w:rsid w:val="007658C4"/>
    <w:pPr>
      <w:spacing w:line="240" w:lineRule="auto"/>
    </w:pPr>
    <w:rPr>
      <w:sz w:val="20"/>
      <w:szCs w:val="20"/>
    </w:rPr>
  </w:style>
  <w:style w:type="character" w:customStyle="1" w:styleId="Char0">
    <w:name w:val="批注文字 Char"/>
    <w:basedOn w:val="a3"/>
    <w:link w:val="a8"/>
    <w:rsid w:val="007658C4"/>
    <w:rPr>
      <w:sz w:val="20"/>
      <w:szCs w:val="20"/>
    </w:rPr>
  </w:style>
  <w:style w:type="paragraph" w:styleId="a9">
    <w:name w:val="annotation subject"/>
    <w:basedOn w:val="a8"/>
    <w:next w:val="a8"/>
    <w:link w:val="Char1"/>
    <w:unhideWhenUsed/>
    <w:rsid w:val="007658C4"/>
    <w:rPr>
      <w:b/>
      <w:bCs/>
    </w:rPr>
  </w:style>
  <w:style w:type="character" w:customStyle="1" w:styleId="Char1">
    <w:name w:val="批注主题 Char"/>
    <w:basedOn w:val="Char0"/>
    <w:link w:val="a9"/>
    <w:rsid w:val="007658C4"/>
    <w:rPr>
      <w:b/>
      <w:bCs/>
      <w:sz w:val="20"/>
      <w:szCs w:val="20"/>
    </w:rPr>
  </w:style>
  <w:style w:type="paragraph" w:styleId="aa">
    <w:name w:val="Balloon Text"/>
    <w:basedOn w:val="a2"/>
    <w:link w:val="Char2"/>
    <w:semiHidden/>
    <w:unhideWhenUsed/>
    <w:rsid w:val="007658C4"/>
    <w:pPr>
      <w:spacing w:after="0" w:line="240" w:lineRule="auto"/>
    </w:pPr>
    <w:rPr>
      <w:rFonts w:ascii="Tahoma" w:hAnsi="Tahoma" w:cs="Tahoma"/>
      <w:sz w:val="16"/>
      <w:szCs w:val="16"/>
    </w:rPr>
  </w:style>
  <w:style w:type="character" w:customStyle="1" w:styleId="Char2">
    <w:name w:val="批注框文本 Char"/>
    <w:basedOn w:val="a3"/>
    <w:link w:val="aa"/>
    <w:uiPriority w:val="99"/>
    <w:semiHidden/>
    <w:rsid w:val="007658C4"/>
    <w:rPr>
      <w:rFonts w:ascii="Tahoma" w:hAnsi="Tahoma" w:cs="Tahoma"/>
      <w:sz w:val="16"/>
      <w:szCs w:val="16"/>
    </w:rPr>
  </w:style>
  <w:style w:type="character" w:customStyle="1" w:styleId="3Char">
    <w:name w:val="标题 3 Char"/>
    <w:basedOn w:val="a3"/>
    <w:link w:val="31"/>
    <w:rsid w:val="007F3BF7"/>
    <w:rPr>
      <w:rFonts w:ascii="Georgia" w:eastAsia="Times New Roman" w:hAnsi="Georgia" w:cs="Times New Roman"/>
      <w:b/>
      <w:szCs w:val="26"/>
      <w:lang w:val="nb-NO" w:eastAsia="nb-NO"/>
    </w:rPr>
  </w:style>
  <w:style w:type="character" w:customStyle="1" w:styleId="4Char">
    <w:name w:val="标题 4 Char"/>
    <w:basedOn w:val="a3"/>
    <w:link w:val="41"/>
    <w:rsid w:val="007F3BF7"/>
    <w:rPr>
      <w:rFonts w:ascii="Georgia" w:eastAsia="Times New Roman" w:hAnsi="Georgia" w:cs="Times New Roman"/>
      <w:b/>
      <w:i/>
      <w:szCs w:val="28"/>
      <w:lang w:val="nb-NO" w:eastAsia="nb-NO"/>
    </w:rPr>
  </w:style>
  <w:style w:type="character" w:customStyle="1" w:styleId="5Char">
    <w:name w:val="标题 5 Char"/>
    <w:basedOn w:val="a3"/>
    <w:link w:val="51"/>
    <w:rsid w:val="007F3BF7"/>
    <w:rPr>
      <w:rFonts w:ascii="Georgia" w:eastAsia="Times New Roman" w:hAnsi="Georgia" w:cs="Times New Roman"/>
      <w:i/>
      <w:szCs w:val="26"/>
      <w:lang w:val="nb-NO" w:eastAsia="nb-NO"/>
    </w:rPr>
  </w:style>
  <w:style w:type="character" w:customStyle="1" w:styleId="6Char">
    <w:name w:val="标题 6 Char"/>
    <w:basedOn w:val="a3"/>
    <w:link w:val="6"/>
    <w:rsid w:val="007F3BF7"/>
    <w:rPr>
      <w:rFonts w:ascii="Georgia" w:eastAsia="Times New Roman" w:hAnsi="Georgia" w:cs="Times New Roman"/>
      <w:b/>
      <w:sz w:val="18"/>
      <w:lang w:val="nb-NO" w:eastAsia="nb-NO"/>
    </w:rPr>
  </w:style>
  <w:style w:type="character" w:customStyle="1" w:styleId="7Char">
    <w:name w:val="标题 7 Char"/>
    <w:basedOn w:val="a3"/>
    <w:link w:val="7"/>
    <w:rsid w:val="007F3BF7"/>
    <w:rPr>
      <w:rFonts w:ascii="Georgia" w:eastAsia="Times New Roman" w:hAnsi="Georgia" w:cs="Times New Roman"/>
      <w:sz w:val="18"/>
      <w:szCs w:val="21"/>
      <w:lang w:val="nb-NO" w:eastAsia="nb-NO"/>
    </w:rPr>
  </w:style>
  <w:style w:type="character" w:customStyle="1" w:styleId="8Char">
    <w:name w:val="标题 8 Char"/>
    <w:basedOn w:val="a3"/>
    <w:link w:val="8"/>
    <w:rsid w:val="007F3BF7"/>
    <w:rPr>
      <w:rFonts w:ascii="Georgia" w:eastAsia="Times New Roman" w:hAnsi="Georgia" w:cs="Times New Roman"/>
      <w:i/>
      <w:sz w:val="18"/>
      <w:szCs w:val="21"/>
      <w:lang w:val="nb-NO" w:eastAsia="nb-NO"/>
    </w:rPr>
  </w:style>
  <w:style w:type="character" w:customStyle="1" w:styleId="9Char">
    <w:name w:val="标题 9 Char"/>
    <w:basedOn w:val="a3"/>
    <w:link w:val="9"/>
    <w:rsid w:val="007F3BF7"/>
    <w:rPr>
      <w:rFonts w:ascii="Sun Cd TFm" w:eastAsia="Times New Roman" w:hAnsi="Sun Cd TFm" w:cs="Times New Roman"/>
      <w:lang w:eastAsia="nb-NO"/>
    </w:rPr>
  </w:style>
  <w:style w:type="paragraph" w:customStyle="1" w:styleId="kolofon">
    <w:name w:val="kolofon"/>
    <w:basedOn w:val="a2"/>
    <w:link w:val="kolofonChar"/>
    <w:rsid w:val="007F3BF7"/>
    <w:pPr>
      <w:spacing w:after="0" w:line="326" w:lineRule="atLeast"/>
    </w:pPr>
    <w:rPr>
      <w:rFonts w:ascii="Georgia" w:eastAsia="Times New Roman" w:hAnsi="Georgia" w:cs="Times New Roman"/>
      <w:noProof/>
      <w:sz w:val="20"/>
      <w:szCs w:val="21"/>
      <w:lang w:val="en-US" w:eastAsia="nb-NO"/>
    </w:rPr>
  </w:style>
  <w:style w:type="table" w:styleId="32">
    <w:name w:val="Table List 3"/>
    <w:basedOn w:val="a4"/>
    <w:rsid w:val="007F3BF7"/>
    <w:pPr>
      <w:tabs>
        <w:tab w:val="left" w:pos="510"/>
      </w:tabs>
      <w:spacing w:after="0" w:line="240" w:lineRule="auto"/>
    </w:pPr>
    <w:rPr>
      <w:rFonts w:ascii="Arial Narrow" w:eastAsia="Times New Roman" w:hAnsi="Arial Narrow" w:cs="Times New Roman"/>
      <w:szCs w:val="20"/>
      <w:lang w:val="nb-NO" w:eastAsia="nb-NO"/>
    </w:rPr>
    <w:tblPr>
      <w:tblStyleRowBandSize w:val="1"/>
      <w:tblStyleColBandSize w:val="1"/>
      <w:tblInd w:w="0" w:type="dxa"/>
      <w:tblBorders>
        <w:top w:val="single" w:sz="4" w:space="0" w:color="000000"/>
        <w:bottom w:val="single" w:sz="4" w:space="0" w:color="000000"/>
        <w:insideH w:val="single" w:sz="4" w:space="0" w:color="000000"/>
      </w:tblBorders>
      <w:tblCellMar>
        <w:top w:w="68" w:type="dxa"/>
        <w:left w:w="57" w:type="dxa"/>
        <w:bottom w:w="68" w:type="dxa"/>
        <w:right w:w="57" w:type="dxa"/>
      </w:tblCellMar>
    </w:tblPr>
    <w:tcPr>
      <w:shd w:val="clear" w:color="auto" w:fill="auto"/>
    </w:tcPr>
    <w:tblStylePr w:type="firstRow">
      <w:pPr>
        <w:jc w:val="left"/>
      </w:pPr>
      <w:rPr>
        <w:rFonts w:ascii="MS Mincho" w:hAnsi="MS Mincho"/>
        <w:b/>
        <w:sz w:val="22"/>
      </w:rPr>
      <w:tblPr/>
      <w:tcPr>
        <w:shd w:val="clear" w:color="auto" w:fill="EEEDEB"/>
      </w:tcPr>
    </w:tblStylePr>
    <w:tblStylePr w:type="lastRow">
      <w:tblPr/>
      <w:tcPr>
        <w:tcBorders>
          <w:top w:val="single" w:sz="4" w:space="0" w:color="auto"/>
          <w:bottom w:val="single" w:sz="4" w:space="0" w:color="auto"/>
          <w:tl2br w:val="none" w:sz="0" w:space="0" w:color="auto"/>
          <w:tr2bl w:val="none" w:sz="0" w:space="0" w:color="auto"/>
        </w:tcBorders>
        <w:shd w:val="clear" w:color="auto" w:fill="auto"/>
      </w:tcPr>
    </w:tblStylePr>
    <w:tblStylePr w:type="firstCol">
      <w:rPr>
        <w:rFonts w:ascii="Wingdings" w:hAnsi="Wingdings"/>
        <w:b/>
        <w:sz w:val="22"/>
      </w:rPr>
    </w:tblStylePr>
    <w:tblStylePr w:type="lastCol">
      <w:rPr>
        <w:rFonts w:ascii="Wingdings" w:hAnsi="Wingdings"/>
        <w:b w:val="0"/>
        <w:sz w:val="22"/>
      </w:rPr>
      <w:tblPr>
        <w:tblCellMar>
          <w:top w:w="68" w:type="dxa"/>
          <w:left w:w="57" w:type="dxa"/>
          <w:bottom w:w="68" w:type="dxa"/>
          <w:right w:w="57" w:type="dxa"/>
        </w:tblCellMar>
      </w:tblPr>
    </w:tblStylePr>
    <w:tblStylePr w:type="swCell">
      <w:tblPr/>
      <w:tcPr>
        <w:tcBorders>
          <w:tl2br w:val="none" w:sz="0" w:space="0" w:color="auto"/>
          <w:tr2bl w:val="none" w:sz="0" w:space="0" w:color="auto"/>
        </w:tcBorders>
      </w:tcPr>
    </w:tblStylePr>
  </w:style>
  <w:style w:type="paragraph" w:styleId="ab">
    <w:name w:val="header"/>
    <w:basedOn w:val="a2"/>
    <w:link w:val="Char3"/>
    <w:uiPriority w:val="99"/>
    <w:rsid w:val="007F3BF7"/>
    <w:pPr>
      <w:tabs>
        <w:tab w:val="left" w:pos="510"/>
        <w:tab w:val="center" w:pos="4320"/>
        <w:tab w:val="right" w:pos="8640"/>
      </w:tabs>
      <w:spacing w:after="0" w:line="326" w:lineRule="atLeast"/>
    </w:pPr>
    <w:rPr>
      <w:rFonts w:ascii="Sun Cd TFm" w:eastAsia="Times New Roman" w:hAnsi="Sun Cd TFm" w:cs="Times New Roman"/>
      <w:szCs w:val="21"/>
      <w:lang w:val="nb-NO" w:eastAsia="nb-NO"/>
    </w:rPr>
  </w:style>
  <w:style w:type="character" w:customStyle="1" w:styleId="Char3">
    <w:name w:val="页眉 Char"/>
    <w:basedOn w:val="a3"/>
    <w:link w:val="ab"/>
    <w:uiPriority w:val="99"/>
    <w:rsid w:val="007F3BF7"/>
    <w:rPr>
      <w:rFonts w:ascii="Sun Cd TFm" w:eastAsia="Times New Roman" w:hAnsi="Sun Cd TFm" w:cs="Times New Roman"/>
      <w:szCs w:val="21"/>
      <w:lang w:val="nb-NO" w:eastAsia="nb-NO"/>
    </w:rPr>
  </w:style>
  <w:style w:type="paragraph" w:styleId="ac">
    <w:name w:val="footer"/>
    <w:basedOn w:val="a2"/>
    <w:link w:val="Char4"/>
    <w:uiPriority w:val="99"/>
    <w:rsid w:val="007F3BF7"/>
    <w:pPr>
      <w:tabs>
        <w:tab w:val="left" w:pos="227"/>
        <w:tab w:val="left" w:pos="510"/>
        <w:tab w:val="center" w:pos="4320"/>
        <w:tab w:val="right" w:pos="8640"/>
      </w:tabs>
      <w:spacing w:after="0" w:line="326" w:lineRule="atLeast"/>
    </w:pPr>
    <w:rPr>
      <w:rFonts w:ascii="Arial Narrow" w:eastAsia="Times New Roman" w:hAnsi="Arial Narrow" w:cs="Times New Roman"/>
      <w:sz w:val="20"/>
      <w:szCs w:val="21"/>
      <w:lang w:val="nb-NO" w:eastAsia="nb-NO"/>
    </w:rPr>
  </w:style>
  <w:style w:type="character" w:customStyle="1" w:styleId="Char4">
    <w:name w:val="页脚 Char"/>
    <w:basedOn w:val="a3"/>
    <w:link w:val="ac"/>
    <w:uiPriority w:val="99"/>
    <w:rsid w:val="007F3BF7"/>
    <w:rPr>
      <w:rFonts w:ascii="Arial Narrow" w:eastAsia="Times New Roman" w:hAnsi="Arial Narrow" w:cs="Times New Roman"/>
      <w:sz w:val="20"/>
      <w:szCs w:val="21"/>
      <w:lang w:val="nb-NO" w:eastAsia="nb-NO"/>
    </w:rPr>
  </w:style>
  <w:style w:type="character" w:styleId="ad">
    <w:name w:val="page number"/>
    <w:rsid w:val="007F3BF7"/>
    <w:rPr>
      <w:rFonts w:ascii="Arial Narrow" w:hAnsi="Arial Narrow"/>
      <w:sz w:val="18"/>
    </w:rPr>
  </w:style>
  <w:style w:type="paragraph" w:customStyle="1" w:styleId="Pagenumberodd">
    <w:name w:val="Page number odd"/>
    <w:autoRedefine/>
    <w:semiHidden/>
    <w:rsid w:val="007F3BF7"/>
    <w:pPr>
      <w:spacing w:before="60" w:after="0" w:line="240" w:lineRule="auto"/>
      <w:ind w:right="-1701"/>
      <w:jc w:val="right"/>
    </w:pPr>
    <w:rPr>
      <w:rFonts w:ascii="Sun Cd TFm" w:eastAsia="Times New Roman" w:hAnsi="Sun Cd TFm" w:cs="Times New Roman"/>
      <w:sz w:val="18"/>
      <w:szCs w:val="24"/>
      <w:lang w:val="nb-NO" w:eastAsia="nb-NO"/>
    </w:rPr>
  </w:style>
  <w:style w:type="paragraph" w:customStyle="1" w:styleId="Figuretext">
    <w:name w:val="Figure text"/>
    <w:link w:val="FiguretextChar"/>
    <w:rsid w:val="007F3BF7"/>
    <w:pPr>
      <w:spacing w:before="200" w:line="240" w:lineRule="auto"/>
    </w:pPr>
    <w:rPr>
      <w:rFonts w:ascii="Georgia" w:eastAsia="Times New Roman" w:hAnsi="Georgia" w:cs="Times New Roman"/>
      <w:i/>
      <w:sz w:val="20"/>
      <w:szCs w:val="24"/>
      <w:lang w:eastAsia="nb-NO"/>
    </w:rPr>
  </w:style>
  <w:style w:type="paragraph" w:customStyle="1" w:styleId="Referanser">
    <w:name w:val="Referanser"/>
    <w:basedOn w:val="a2"/>
    <w:qFormat/>
    <w:rsid w:val="007F3BF7"/>
    <w:pPr>
      <w:tabs>
        <w:tab w:val="left" w:pos="510"/>
      </w:tabs>
      <w:spacing w:after="0" w:line="326" w:lineRule="atLeast"/>
      <w:ind w:left="510" w:hanging="510"/>
    </w:pPr>
    <w:rPr>
      <w:rFonts w:ascii="Georgia" w:eastAsia="Times New Roman" w:hAnsi="Georgia" w:cs="Times New Roman"/>
      <w:szCs w:val="20"/>
      <w:lang w:eastAsia="nb-NO"/>
    </w:rPr>
  </w:style>
  <w:style w:type="character" w:customStyle="1" w:styleId="BalloonTextChar1">
    <w:name w:val="Balloon Text Char1"/>
    <w:basedOn w:val="a3"/>
    <w:uiPriority w:val="99"/>
    <w:semiHidden/>
    <w:rsid w:val="007F3BF7"/>
    <w:rPr>
      <w:rFonts w:ascii="Lucida Grande" w:hAnsi="Lucida Grande"/>
      <w:sz w:val="18"/>
      <w:szCs w:val="18"/>
    </w:rPr>
  </w:style>
  <w:style w:type="paragraph" w:customStyle="1" w:styleId="Figuretextbold">
    <w:name w:val="Figure text bold"/>
    <w:basedOn w:val="Figuretext"/>
    <w:rsid w:val="007F3BF7"/>
  </w:style>
  <w:style w:type="character" w:styleId="ae">
    <w:name w:val="Hyperlink"/>
    <w:basedOn w:val="a3"/>
    <w:uiPriority w:val="99"/>
    <w:qFormat/>
    <w:rsid w:val="007F3BF7"/>
    <w:rPr>
      <w:rFonts w:ascii="Georgia" w:hAnsi="Georgia"/>
      <w:color w:val="0000FF"/>
      <w:u w:val="single"/>
    </w:rPr>
  </w:style>
  <w:style w:type="paragraph" w:customStyle="1" w:styleId="Boksoverskriftliten">
    <w:name w:val="Boks overskrift liten"/>
    <w:basedOn w:val="a2"/>
    <w:qFormat/>
    <w:rsid w:val="007F3BF7"/>
    <w:pPr>
      <w:tabs>
        <w:tab w:val="left" w:pos="510"/>
      </w:tabs>
      <w:spacing w:after="40" w:line="326" w:lineRule="atLeast"/>
    </w:pPr>
    <w:rPr>
      <w:rFonts w:ascii="Arial Narrow" w:eastAsia="Times New Roman" w:hAnsi="Arial Narrow" w:cs="Times New Roman"/>
      <w:b/>
      <w:szCs w:val="21"/>
      <w:lang w:eastAsia="nb-NO"/>
    </w:rPr>
  </w:style>
  <w:style w:type="paragraph" w:customStyle="1" w:styleId="Footnote">
    <w:name w:val="Footnote"/>
    <w:basedOn w:val="af"/>
    <w:rsid w:val="007F3BF7"/>
  </w:style>
  <w:style w:type="paragraph" w:customStyle="1" w:styleId="Tabletextitalic">
    <w:name w:val="Table text italic"/>
    <w:basedOn w:val="a2"/>
    <w:rsid w:val="007F3BF7"/>
    <w:pPr>
      <w:tabs>
        <w:tab w:val="left" w:pos="510"/>
      </w:tabs>
      <w:spacing w:after="0" w:line="240" w:lineRule="auto"/>
    </w:pPr>
    <w:rPr>
      <w:rFonts w:ascii="Arial Narrow" w:eastAsia="Times New Roman" w:hAnsi="Arial Narrow" w:cs="Times New Roman"/>
      <w:i/>
      <w:noProof/>
      <w:szCs w:val="24"/>
      <w:lang w:val="nb-NO" w:eastAsia="nb-NO"/>
    </w:rPr>
  </w:style>
  <w:style w:type="paragraph" w:customStyle="1" w:styleId="Normalpictureplacement">
    <w:name w:val="Normal picture placement"/>
    <w:basedOn w:val="a2"/>
    <w:rsid w:val="007F3BF7"/>
    <w:pPr>
      <w:tabs>
        <w:tab w:val="left" w:pos="510"/>
      </w:tabs>
      <w:spacing w:after="0" w:line="240" w:lineRule="auto"/>
    </w:pPr>
    <w:rPr>
      <w:rFonts w:ascii="Georgia" w:eastAsia="Times New Roman" w:hAnsi="Georgia" w:cs="Times New Roman"/>
      <w:noProof/>
      <w:szCs w:val="21"/>
      <w:lang w:val="nb-NO" w:eastAsia="nb-NO"/>
    </w:rPr>
  </w:style>
  <w:style w:type="paragraph" w:styleId="a1">
    <w:name w:val="List Bullet"/>
    <w:basedOn w:val="a2"/>
    <w:qFormat/>
    <w:rsid w:val="007F3BF7"/>
    <w:pPr>
      <w:numPr>
        <w:numId w:val="11"/>
      </w:numPr>
      <w:tabs>
        <w:tab w:val="left" w:pos="510"/>
      </w:tabs>
      <w:spacing w:after="0" w:line="326" w:lineRule="atLeast"/>
    </w:pPr>
    <w:rPr>
      <w:rFonts w:ascii="Georgia" w:eastAsia="Times New Roman" w:hAnsi="Georgia" w:cs="Times New Roman"/>
      <w:noProof/>
      <w:szCs w:val="21"/>
      <w:lang w:val="nb-NO" w:eastAsia="nb-NO"/>
    </w:rPr>
  </w:style>
  <w:style w:type="paragraph" w:customStyle="1" w:styleId="Footerandpagenumber">
    <w:name w:val="Footer and page number"/>
    <w:basedOn w:val="ac"/>
    <w:rsid w:val="007F3BF7"/>
    <w:pPr>
      <w:framePr w:w="7837" w:wrap="around" w:vAnchor="text" w:hAnchor="margin" w:y="1"/>
    </w:pPr>
    <w:rPr>
      <w:noProof/>
    </w:rPr>
  </w:style>
  <w:style w:type="paragraph" w:styleId="af0">
    <w:name w:val="Document Map"/>
    <w:basedOn w:val="a2"/>
    <w:link w:val="Char5"/>
    <w:rsid w:val="007F3BF7"/>
    <w:pPr>
      <w:shd w:val="clear" w:color="auto" w:fill="000080"/>
      <w:tabs>
        <w:tab w:val="left" w:pos="510"/>
      </w:tabs>
      <w:spacing w:after="0" w:line="326" w:lineRule="atLeast"/>
    </w:pPr>
    <w:rPr>
      <w:rFonts w:ascii="Tahoma" w:eastAsia="Times New Roman" w:hAnsi="Tahoma" w:cs="Tahoma"/>
      <w:szCs w:val="20"/>
      <w:lang w:val="nb-NO" w:eastAsia="nb-NO"/>
    </w:rPr>
  </w:style>
  <w:style w:type="character" w:customStyle="1" w:styleId="Char5">
    <w:name w:val="文档结构图 Char"/>
    <w:basedOn w:val="a3"/>
    <w:link w:val="af0"/>
    <w:rsid w:val="007F3BF7"/>
    <w:rPr>
      <w:rFonts w:ascii="Tahoma" w:eastAsia="Times New Roman" w:hAnsi="Tahoma" w:cs="Tahoma"/>
      <w:szCs w:val="20"/>
      <w:shd w:val="clear" w:color="auto" w:fill="000080"/>
      <w:lang w:val="nb-NO" w:eastAsia="nb-NO"/>
    </w:rPr>
  </w:style>
  <w:style w:type="paragraph" w:styleId="af1">
    <w:name w:val="table of figures"/>
    <w:basedOn w:val="a2"/>
    <w:next w:val="a2"/>
    <w:semiHidden/>
    <w:rsid w:val="007F3BF7"/>
    <w:pPr>
      <w:spacing w:after="0" w:line="326" w:lineRule="atLeast"/>
    </w:pPr>
    <w:rPr>
      <w:rFonts w:ascii="Georgia" w:eastAsia="Times New Roman" w:hAnsi="Georgia" w:cs="Times New Roman"/>
      <w:szCs w:val="21"/>
      <w:lang w:val="nb-NO" w:eastAsia="nb-NO"/>
    </w:rPr>
  </w:style>
  <w:style w:type="paragraph" w:styleId="42">
    <w:name w:val="index 4"/>
    <w:basedOn w:val="a2"/>
    <w:next w:val="a2"/>
    <w:autoRedefine/>
    <w:semiHidden/>
    <w:rsid w:val="007F3BF7"/>
    <w:pPr>
      <w:spacing w:after="0" w:line="326" w:lineRule="atLeast"/>
      <w:ind w:left="800" w:hanging="200"/>
    </w:pPr>
    <w:rPr>
      <w:rFonts w:ascii="Georgia" w:eastAsia="Times New Roman" w:hAnsi="Georgia" w:cs="Times New Roman"/>
      <w:szCs w:val="21"/>
      <w:lang w:val="nb-NO" w:eastAsia="nb-NO"/>
    </w:rPr>
  </w:style>
  <w:style w:type="paragraph" w:styleId="af">
    <w:name w:val="footnote text"/>
    <w:basedOn w:val="a2"/>
    <w:link w:val="Char6"/>
    <w:qFormat/>
    <w:rsid w:val="007F3BF7"/>
    <w:pPr>
      <w:spacing w:after="0" w:line="240" w:lineRule="exact"/>
    </w:pPr>
    <w:rPr>
      <w:rFonts w:ascii="Georgia" w:eastAsia="Times New Roman" w:hAnsi="Georgia" w:cs="Times New Roman"/>
      <w:sz w:val="18"/>
      <w:szCs w:val="20"/>
      <w:lang w:eastAsia="nb-NO"/>
    </w:rPr>
  </w:style>
  <w:style w:type="character" w:customStyle="1" w:styleId="Char6">
    <w:name w:val="脚注文本 Char"/>
    <w:basedOn w:val="a3"/>
    <w:link w:val="af"/>
    <w:rsid w:val="007F3BF7"/>
    <w:rPr>
      <w:rFonts w:ascii="Georgia" w:eastAsia="Times New Roman" w:hAnsi="Georgia" w:cs="Times New Roman"/>
      <w:sz w:val="18"/>
      <w:szCs w:val="20"/>
      <w:lang w:eastAsia="nb-NO"/>
    </w:rPr>
  </w:style>
  <w:style w:type="character" w:styleId="af2">
    <w:name w:val="footnote reference"/>
    <w:basedOn w:val="a3"/>
    <w:rsid w:val="007F3BF7"/>
    <w:rPr>
      <w:vertAlign w:val="superscript"/>
    </w:rPr>
  </w:style>
  <w:style w:type="paragraph" w:styleId="52">
    <w:name w:val="index 5"/>
    <w:basedOn w:val="a2"/>
    <w:next w:val="a2"/>
    <w:autoRedefine/>
    <w:semiHidden/>
    <w:rsid w:val="007F3BF7"/>
    <w:pPr>
      <w:spacing w:after="0" w:line="326" w:lineRule="atLeast"/>
      <w:ind w:left="1000" w:hanging="200"/>
    </w:pPr>
    <w:rPr>
      <w:rFonts w:ascii="Georgia" w:eastAsia="Times New Roman" w:hAnsi="Georgia" w:cs="Times New Roman"/>
      <w:szCs w:val="21"/>
      <w:lang w:val="nb-NO" w:eastAsia="nb-NO"/>
    </w:rPr>
  </w:style>
  <w:style w:type="paragraph" w:styleId="60">
    <w:name w:val="index 6"/>
    <w:basedOn w:val="a2"/>
    <w:next w:val="a2"/>
    <w:autoRedefine/>
    <w:semiHidden/>
    <w:rsid w:val="007F3BF7"/>
    <w:pPr>
      <w:spacing w:after="0" w:line="326" w:lineRule="atLeast"/>
      <w:ind w:left="1200" w:hanging="200"/>
    </w:pPr>
    <w:rPr>
      <w:rFonts w:ascii="Georgia" w:eastAsia="Times New Roman" w:hAnsi="Georgia" w:cs="Times New Roman"/>
      <w:szCs w:val="21"/>
      <w:lang w:val="nb-NO" w:eastAsia="nb-NO"/>
    </w:rPr>
  </w:style>
  <w:style w:type="paragraph" w:styleId="70">
    <w:name w:val="index 7"/>
    <w:basedOn w:val="a2"/>
    <w:next w:val="a2"/>
    <w:autoRedefine/>
    <w:semiHidden/>
    <w:rsid w:val="007F3BF7"/>
    <w:pPr>
      <w:spacing w:after="0" w:line="326" w:lineRule="atLeast"/>
      <w:ind w:left="1400" w:hanging="200"/>
    </w:pPr>
    <w:rPr>
      <w:rFonts w:ascii="Georgia" w:eastAsia="Times New Roman" w:hAnsi="Georgia" w:cs="Times New Roman"/>
      <w:szCs w:val="21"/>
      <w:lang w:val="nb-NO" w:eastAsia="nb-NO"/>
    </w:rPr>
  </w:style>
  <w:style w:type="paragraph" w:styleId="80">
    <w:name w:val="index 8"/>
    <w:basedOn w:val="a2"/>
    <w:next w:val="a2"/>
    <w:autoRedefine/>
    <w:semiHidden/>
    <w:rsid w:val="007F3BF7"/>
    <w:pPr>
      <w:spacing w:after="0" w:line="326" w:lineRule="atLeast"/>
      <w:ind w:left="1600" w:hanging="200"/>
    </w:pPr>
    <w:rPr>
      <w:rFonts w:ascii="Georgia" w:eastAsia="Times New Roman" w:hAnsi="Georgia" w:cs="Times New Roman"/>
      <w:szCs w:val="21"/>
      <w:lang w:val="nb-NO" w:eastAsia="nb-NO"/>
    </w:rPr>
  </w:style>
  <w:style w:type="paragraph" w:styleId="90">
    <w:name w:val="index 9"/>
    <w:basedOn w:val="a2"/>
    <w:next w:val="a2"/>
    <w:autoRedefine/>
    <w:semiHidden/>
    <w:rsid w:val="007F3BF7"/>
    <w:pPr>
      <w:spacing w:after="0" w:line="326" w:lineRule="atLeast"/>
      <w:ind w:left="1800" w:hanging="200"/>
    </w:pPr>
    <w:rPr>
      <w:rFonts w:ascii="Georgia" w:eastAsia="Times New Roman" w:hAnsi="Georgia" w:cs="Times New Roman"/>
      <w:szCs w:val="21"/>
      <w:lang w:val="nb-NO" w:eastAsia="nb-NO"/>
    </w:rPr>
  </w:style>
  <w:style w:type="paragraph" w:styleId="af3">
    <w:name w:val="table of authorities"/>
    <w:basedOn w:val="a2"/>
    <w:next w:val="a2"/>
    <w:semiHidden/>
    <w:rsid w:val="007F3BF7"/>
    <w:pPr>
      <w:spacing w:after="0" w:line="326" w:lineRule="atLeast"/>
      <w:ind w:left="200" w:hanging="200"/>
    </w:pPr>
    <w:rPr>
      <w:rFonts w:ascii="Georgia" w:eastAsia="Times New Roman" w:hAnsi="Georgia" w:cs="Times New Roman"/>
      <w:szCs w:val="21"/>
      <w:lang w:val="nb-NO" w:eastAsia="nb-NO"/>
    </w:rPr>
  </w:style>
  <w:style w:type="paragraph" w:styleId="af4">
    <w:name w:val="toa heading"/>
    <w:basedOn w:val="a2"/>
    <w:next w:val="a2"/>
    <w:semiHidden/>
    <w:rsid w:val="007F3BF7"/>
    <w:pPr>
      <w:tabs>
        <w:tab w:val="left" w:pos="510"/>
      </w:tabs>
      <w:spacing w:before="120" w:after="0" w:line="326" w:lineRule="atLeast"/>
    </w:pPr>
    <w:rPr>
      <w:rFonts w:ascii="Arial" w:eastAsia="Times New Roman" w:hAnsi="Arial" w:cs="Arial"/>
      <w:b/>
      <w:bCs/>
      <w:sz w:val="24"/>
      <w:szCs w:val="21"/>
      <w:lang w:val="nb-NO" w:eastAsia="nb-NO"/>
    </w:rPr>
  </w:style>
  <w:style w:type="paragraph" w:styleId="af5">
    <w:name w:val="macro"/>
    <w:link w:val="Char7"/>
    <w:semiHidden/>
    <w:rsid w:val="007F3BF7"/>
    <w:pPr>
      <w:tabs>
        <w:tab w:val="left" w:pos="480"/>
        <w:tab w:val="left" w:pos="960"/>
        <w:tab w:val="left" w:pos="1440"/>
        <w:tab w:val="left" w:pos="1920"/>
        <w:tab w:val="left" w:pos="2400"/>
        <w:tab w:val="left" w:pos="2880"/>
        <w:tab w:val="left" w:pos="3360"/>
        <w:tab w:val="left" w:pos="3840"/>
        <w:tab w:val="left" w:pos="4320"/>
      </w:tabs>
      <w:spacing w:after="0" w:line="300" w:lineRule="exact"/>
    </w:pPr>
    <w:rPr>
      <w:rFonts w:ascii="Courier New" w:eastAsia="Times New Roman" w:hAnsi="Courier New" w:cs="Courier New"/>
      <w:sz w:val="20"/>
      <w:szCs w:val="20"/>
      <w:lang w:val="nb-NO" w:eastAsia="nb-NO"/>
    </w:rPr>
  </w:style>
  <w:style w:type="character" w:customStyle="1" w:styleId="Char7">
    <w:name w:val="宏文本 Char"/>
    <w:basedOn w:val="a3"/>
    <w:link w:val="af5"/>
    <w:semiHidden/>
    <w:rsid w:val="007F3BF7"/>
    <w:rPr>
      <w:rFonts w:ascii="Courier New" w:eastAsia="Times New Roman" w:hAnsi="Courier New" w:cs="Courier New"/>
      <w:sz w:val="20"/>
      <w:szCs w:val="20"/>
      <w:lang w:val="nb-NO" w:eastAsia="nb-NO"/>
    </w:rPr>
  </w:style>
  <w:style w:type="character" w:styleId="af6">
    <w:name w:val="endnote reference"/>
    <w:basedOn w:val="a3"/>
    <w:semiHidden/>
    <w:rsid w:val="007F3BF7"/>
    <w:rPr>
      <w:vertAlign w:val="superscript"/>
    </w:rPr>
  </w:style>
  <w:style w:type="paragraph" w:styleId="af7">
    <w:name w:val="endnote text"/>
    <w:basedOn w:val="a2"/>
    <w:link w:val="Char8"/>
    <w:semiHidden/>
    <w:rsid w:val="007F3BF7"/>
    <w:pPr>
      <w:tabs>
        <w:tab w:val="left" w:pos="510"/>
      </w:tabs>
      <w:spacing w:after="0" w:line="326" w:lineRule="atLeast"/>
    </w:pPr>
    <w:rPr>
      <w:rFonts w:ascii="Georgia" w:eastAsia="Times New Roman" w:hAnsi="Georgia" w:cs="Times New Roman"/>
      <w:szCs w:val="20"/>
      <w:lang w:val="nb-NO" w:eastAsia="nb-NO"/>
    </w:rPr>
  </w:style>
  <w:style w:type="character" w:customStyle="1" w:styleId="Char8">
    <w:name w:val="尾注文本 Char"/>
    <w:basedOn w:val="a3"/>
    <w:link w:val="af7"/>
    <w:semiHidden/>
    <w:rsid w:val="007F3BF7"/>
    <w:rPr>
      <w:rFonts w:ascii="Georgia" w:eastAsia="Times New Roman" w:hAnsi="Georgia" w:cs="Times New Roman"/>
      <w:szCs w:val="20"/>
      <w:lang w:val="nb-NO" w:eastAsia="nb-NO"/>
    </w:rPr>
  </w:style>
  <w:style w:type="paragraph" w:styleId="10">
    <w:name w:val="index 1"/>
    <w:basedOn w:val="a2"/>
    <w:next w:val="a2"/>
    <w:autoRedefine/>
    <w:semiHidden/>
    <w:unhideWhenUsed/>
    <w:rsid w:val="007F3BF7"/>
    <w:pPr>
      <w:spacing w:after="0" w:line="240" w:lineRule="auto"/>
      <w:ind w:left="220" w:hanging="220"/>
    </w:pPr>
  </w:style>
  <w:style w:type="paragraph" w:styleId="af8">
    <w:name w:val="index heading"/>
    <w:basedOn w:val="a2"/>
    <w:next w:val="10"/>
    <w:semiHidden/>
    <w:rsid w:val="007F3BF7"/>
    <w:pPr>
      <w:tabs>
        <w:tab w:val="left" w:pos="510"/>
      </w:tabs>
      <w:spacing w:after="0" w:line="326" w:lineRule="atLeast"/>
    </w:pPr>
    <w:rPr>
      <w:rFonts w:ascii="Arial" w:eastAsia="Times New Roman" w:hAnsi="Arial" w:cs="Arial"/>
      <w:b/>
      <w:bCs/>
      <w:szCs w:val="21"/>
      <w:lang w:val="nb-NO" w:eastAsia="nb-NO"/>
    </w:rPr>
  </w:style>
  <w:style w:type="paragraph" w:customStyle="1" w:styleId="Literaturereferences">
    <w:name w:val="Literature references"/>
    <w:basedOn w:val="a2"/>
    <w:semiHidden/>
    <w:rsid w:val="007F3BF7"/>
    <w:pPr>
      <w:numPr>
        <w:numId w:val="9"/>
      </w:numPr>
      <w:tabs>
        <w:tab w:val="left" w:pos="340"/>
        <w:tab w:val="left" w:pos="510"/>
      </w:tabs>
      <w:spacing w:after="0" w:line="326" w:lineRule="atLeast"/>
      <w:ind w:left="340"/>
    </w:pPr>
    <w:rPr>
      <w:rFonts w:ascii="Georgia" w:eastAsia="Times New Roman" w:hAnsi="Georgia" w:cs="Times New Roman"/>
      <w:szCs w:val="21"/>
      <w:lang w:eastAsia="nb-NO"/>
    </w:rPr>
  </w:style>
  <w:style w:type="paragraph" w:styleId="43">
    <w:name w:val="toc 4"/>
    <w:basedOn w:val="a2"/>
    <w:next w:val="a2"/>
    <w:autoRedefine/>
    <w:uiPriority w:val="39"/>
    <w:semiHidden/>
    <w:rsid w:val="007F3BF7"/>
    <w:pPr>
      <w:spacing w:after="0" w:line="326" w:lineRule="atLeast"/>
      <w:ind w:left="600"/>
    </w:pPr>
    <w:rPr>
      <w:rFonts w:ascii="Georgia" w:eastAsia="Times New Roman" w:hAnsi="Georgia" w:cs="Times New Roman"/>
      <w:i/>
      <w:szCs w:val="21"/>
      <w:lang w:val="nb-NO" w:eastAsia="nb-NO"/>
    </w:rPr>
  </w:style>
  <w:style w:type="paragraph" w:styleId="21">
    <w:name w:val="index 2"/>
    <w:basedOn w:val="a2"/>
    <w:next w:val="a2"/>
    <w:semiHidden/>
    <w:rsid w:val="007F3BF7"/>
    <w:pPr>
      <w:tabs>
        <w:tab w:val="right" w:pos="7938"/>
      </w:tabs>
      <w:spacing w:after="0" w:line="326" w:lineRule="atLeast"/>
      <w:ind w:left="199" w:hanging="199"/>
    </w:pPr>
    <w:rPr>
      <w:rFonts w:ascii="Georgia" w:eastAsia="Times New Roman" w:hAnsi="Georgia" w:cs="Times New Roman"/>
      <w:szCs w:val="21"/>
      <w:lang w:eastAsia="nb-NO"/>
    </w:rPr>
  </w:style>
  <w:style w:type="paragraph" w:styleId="33">
    <w:name w:val="index 3"/>
    <w:basedOn w:val="a2"/>
    <w:next w:val="a2"/>
    <w:semiHidden/>
    <w:rsid w:val="007F3BF7"/>
    <w:pPr>
      <w:tabs>
        <w:tab w:val="right" w:pos="7938"/>
      </w:tabs>
      <w:spacing w:after="0" w:line="326" w:lineRule="atLeast"/>
      <w:ind w:left="398" w:hanging="199"/>
    </w:pPr>
    <w:rPr>
      <w:rFonts w:ascii="Georgia" w:eastAsia="Times New Roman" w:hAnsi="Georgia" w:cs="Times New Roman"/>
      <w:i/>
      <w:szCs w:val="21"/>
      <w:lang w:eastAsia="nb-NO"/>
    </w:rPr>
  </w:style>
  <w:style w:type="paragraph" w:styleId="11">
    <w:name w:val="toc 1"/>
    <w:basedOn w:val="a2"/>
    <w:next w:val="a2"/>
    <w:uiPriority w:val="39"/>
    <w:qFormat/>
    <w:rsid w:val="007F3BF7"/>
    <w:pPr>
      <w:tabs>
        <w:tab w:val="left" w:pos="284"/>
        <w:tab w:val="right" w:pos="8222"/>
      </w:tabs>
      <w:spacing w:before="200" w:after="0" w:line="326" w:lineRule="atLeast"/>
    </w:pPr>
    <w:rPr>
      <w:rFonts w:ascii="Georgia" w:eastAsia="Times New Roman" w:hAnsi="Georgia" w:cs="Times New Roman"/>
      <w:b/>
      <w:caps/>
      <w:spacing w:val="10"/>
      <w:szCs w:val="21"/>
      <w:lang w:eastAsia="nb-NO"/>
    </w:rPr>
  </w:style>
  <w:style w:type="paragraph" w:styleId="34">
    <w:name w:val="toc 3"/>
    <w:basedOn w:val="a2"/>
    <w:next w:val="a2"/>
    <w:uiPriority w:val="39"/>
    <w:rsid w:val="007F3BF7"/>
    <w:pPr>
      <w:tabs>
        <w:tab w:val="left" w:pos="510"/>
        <w:tab w:val="left" w:pos="1191"/>
        <w:tab w:val="right" w:pos="8222"/>
      </w:tabs>
      <w:spacing w:after="0" w:line="326" w:lineRule="atLeast"/>
      <w:ind w:left="284" w:firstLine="284"/>
    </w:pPr>
    <w:rPr>
      <w:rFonts w:ascii="Georgia" w:eastAsia="Times New Roman" w:hAnsi="Georgia" w:cs="Times New Roman"/>
      <w:szCs w:val="21"/>
      <w:lang w:val="nb-NO" w:eastAsia="nb-NO"/>
    </w:rPr>
  </w:style>
  <w:style w:type="paragraph" w:styleId="22">
    <w:name w:val="toc 2"/>
    <w:basedOn w:val="a2"/>
    <w:next w:val="a2"/>
    <w:uiPriority w:val="39"/>
    <w:rsid w:val="007F3BF7"/>
    <w:pPr>
      <w:tabs>
        <w:tab w:val="left" w:pos="510"/>
        <w:tab w:val="right" w:pos="8222"/>
      </w:tabs>
      <w:spacing w:after="0" w:line="326" w:lineRule="atLeast"/>
    </w:pPr>
    <w:rPr>
      <w:rFonts w:ascii="Georgia" w:eastAsia="Times New Roman" w:hAnsi="Georgia" w:cs="Times New Roman"/>
      <w:szCs w:val="21"/>
      <w:lang w:val="nb-NO" w:eastAsia="nb-NO"/>
    </w:rPr>
  </w:style>
  <w:style w:type="paragraph" w:styleId="53">
    <w:name w:val="toc 5"/>
    <w:basedOn w:val="a2"/>
    <w:next w:val="a2"/>
    <w:autoRedefine/>
    <w:uiPriority w:val="39"/>
    <w:semiHidden/>
    <w:rsid w:val="007F3BF7"/>
    <w:pPr>
      <w:spacing w:after="0" w:line="326" w:lineRule="atLeast"/>
      <w:ind w:left="800"/>
    </w:pPr>
    <w:rPr>
      <w:rFonts w:ascii="Georgia" w:eastAsia="Times New Roman" w:hAnsi="Georgia" w:cs="Times New Roman"/>
      <w:szCs w:val="21"/>
      <w:lang w:val="nb-NO" w:eastAsia="nb-NO"/>
    </w:rPr>
  </w:style>
  <w:style w:type="paragraph" w:styleId="61">
    <w:name w:val="toc 6"/>
    <w:basedOn w:val="a2"/>
    <w:next w:val="a2"/>
    <w:autoRedefine/>
    <w:uiPriority w:val="39"/>
    <w:semiHidden/>
    <w:rsid w:val="007F3BF7"/>
    <w:pPr>
      <w:spacing w:after="0" w:line="326" w:lineRule="atLeast"/>
      <w:ind w:left="1000"/>
    </w:pPr>
    <w:rPr>
      <w:rFonts w:ascii="Georgia" w:eastAsia="Times New Roman" w:hAnsi="Georgia" w:cs="Times New Roman"/>
      <w:szCs w:val="21"/>
      <w:lang w:val="nb-NO" w:eastAsia="nb-NO"/>
    </w:rPr>
  </w:style>
  <w:style w:type="paragraph" w:styleId="71">
    <w:name w:val="toc 7"/>
    <w:basedOn w:val="a2"/>
    <w:next w:val="a2"/>
    <w:autoRedefine/>
    <w:uiPriority w:val="39"/>
    <w:semiHidden/>
    <w:rsid w:val="007F3BF7"/>
    <w:pPr>
      <w:spacing w:after="0" w:line="326" w:lineRule="atLeast"/>
      <w:ind w:left="1200"/>
    </w:pPr>
    <w:rPr>
      <w:rFonts w:ascii="Georgia" w:eastAsia="Times New Roman" w:hAnsi="Georgia" w:cs="Times New Roman"/>
      <w:szCs w:val="21"/>
      <w:lang w:val="nb-NO" w:eastAsia="nb-NO"/>
    </w:rPr>
  </w:style>
  <w:style w:type="paragraph" w:styleId="81">
    <w:name w:val="toc 8"/>
    <w:basedOn w:val="a2"/>
    <w:next w:val="a2"/>
    <w:autoRedefine/>
    <w:uiPriority w:val="39"/>
    <w:semiHidden/>
    <w:rsid w:val="007F3BF7"/>
    <w:pPr>
      <w:spacing w:after="0" w:line="326" w:lineRule="atLeast"/>
      <w:ind w:left="1400"/>
    </w:pPr>
    <w:rPr>
      <w:rFonts w:ascii="Georgia" w:eastAsia="Times New Roman" w:hAnsi="Georgia" w:cs="Times New Roman"/>
      <w:szCs w:val="21"/>
      <w:lang w:val="nb-NO" w:eastAsia="nb-NO"/>
    </w:rPr>
  </w:style>
  <w:style w:type="paragraph" w:styleId="91">
    <w:name w:val="toc 9"/>
    <w:basedOn w:val="a2"/>
    <w:next w:val="a2"/>
    <w:autoRedefine/>
    <w:uiPriority w:val="39"/>
    <w:semiHidden/>
    <w:rsid w:val="007F3BF7"/>
    <w:pPr>
      <w:spacing w:after="0" w:line="326" w:lineRule="atLeast"/>
      <w:ind w:left="1600"/>
    </w:pPr>
    <w:rPr>
      <w:rFonts w:ascii="Georgia" w:eastAsia="Times New Roman" w:hAnsi="Georgia" w:cs="Times New Roman"/>
      <w:szCs w:val="21"/>
      <w:lang w:val="nb-NO" w:eastAsia="nb-NO"/>
    </w:rPr>
  </w:style>
  <w:style w:type="numbering" w:styleId="111111">
    <w:name w:val="Outline List 2"/>
    <w:basedOn w:val="a5"/>
    <w:semiHidden/>
    <w:rsid w:val="007F3BF7"/>
  </w:style>
  <w:style w:type="numbering" w:styleId="1111110">
    <w:name w:val="Outline List 1"/>
    <w:basedOn w:val="a5"/>
    <w:semiHidden/>
    <w:rsid w:val="007F3BF7"/>
  </w:style>
  <w:style w:type="character" w:customStyle="1" w:styleId="FiguretextChar">
    <w:name w:val="Figure text Char"/>
    <w:basedOn w:val="a3"/>
    <w:link w:val="Figuretext"/>
    <w:rsid w:val="007F3BF7"/>
    <w:rPr>
      <w:rFonts w:ascii="Georgia" w:eastAsia="Times New Roman" w:hAnsi="Georgia" w:cs="Times New Roman"/>
      <w:i/>
      <w:sz w:val="20"/>
      <w:szCs w:val="24"/>
      <w:lang w:eastAsia="nb-NO"/>
    </w:rPr>
  </w:style>
  <w:style w:type="paragraph" w:styleId="af9">
    <w:name w:val="envelope return"/>
    <w:basedOn w:val="a2"/>
    <w:semiHidden/>
    <w:rsid w:val="007F3BF7"/>
    <w:pPr>
      <w:tabs>
        <w:tab w:val="left" w:pos="510"/>
      </w:tabs>
      <w:spacing w:after="0" w:line="326" w:lineRule="atLeast"/>
    </w:pPr>
    <w:rPr>
      <w:rFonts w:ascii="Arial" w:eastAsia="Times New Roman" w:hAnsi="Arial" w:cs="Arial"/>
      <w:szCs w:val="20"/>
      <w:lang w:val="nb-NO" w:eastAsia="nb-NO"/>
    </w:rPr>
  </w:style>
  <w:style w:type="paragraph" w:customStyle="1" w:styleId="IntroOverskriftnoTOC">
    <w:name w:val="Intro Overskrift (no TOC)"/>
    <w:basedOn w:val="a2"/>
    <w:rsid w:val="007F3BF7"/>
    <w:pPr>
      <w:tabs>
        <w:tab w:val="left" w:pos="510"/>
      </w:tabs>
      <w:spacing w:after="0" w:line="240" w:lineRule="auto"/>
    </w:pPr>
    <w:rPr>
      <w:rFonts w:ascii="Georgia" w:eastAsia="Times New Roman" w:hAnsi="Georgia" w:cs="Times New Roman"/>
      <w:b/>
      <w:noProof/>
      <w:sz w:val="36"/>
      <w:szCs w:val="21"/>
      <w:lang w:val="nb-NO" w:eastAsia="nb-NO"/>
    </w:rPr>
  </w:style>
  <w:style w:type="paragraph" w:styleId="afa">
    <w:name w:val="Block Text"/>
    <w:basedOn w:val="a2"/>
    <w:semiHidden/>
    <w:rsid w:val="007F3BF7"/>
    <w:pPr>
      <w:tabs>
        <w:tab w:val="left" w:pos="510"/>
      </w:tabs>
      <w:spacing w:after="120" w:line="326" w:lineRule="atLeast"/>
      <w:ind w:left="1440" w:right="1440"/>
    </w:pPr>
    <w:rPr>
      <w:rFonts w:ascii="Georgia" w:eastAsia="Times New Roman" w:hAnsi="Georgia" w:cs="Times New Roman"/>
      <w:szCs w:val="21"/>
      <w:lang w:val="nb-NO" w:eastAsia="nb-NO"/>
    </w:rPr>
  </w:style>
  <w:style w:type="paragraph" w:styleId="afb">
    <w:name w:val="Body Text"/>
    <w:basedOn w:val="a2"/>
    <w:link w:val="Char9"/>
    <w:semiHidden/>
    <w:rsid w:val="007F3BF7"/>
    <w:pPr>
      <w:tabs>
        <w:tab w:val="left" w:pos="510"/>
      </w:tabs>
      <w:spacing w:after="120" w:line="326" w:lineRule="atLeast"/>
    </w:pPr>
    <w:rPr>
      <w:rFonts w:ascii="Georgia" w:eastAsia="Times New Roman" w:hAnsi="Georgia" w:cs="Times New Roman"/>
      <w:szCs w:val="21"/>
      <w:lang w:val="nb-NO" w:eastAsia="nb-NO"/>
    </w:rPr>
  </w:style>
  <w:style w:type="character" w:customStyle="1" w:styleId="Char9">
    <w:name w:val="正文文本 Char"/>
    <w:basedOn w:val="a3"/>
    <w:link w:val="afb"/>
    <w:semiHidden/>
    <w:rsid w:val="007F3BF7"/>
    <w:rPr>
      <w:rFonts w:ascii="Georgia" w:eastAsia="Times New Roman" w:hAnsi="Georgia" w:cs="Times New Roman"/>
      <w:szCs w:val="21"/>
      <w:lang w:val="nb-NO" w:eastAsia="nb-NO"/>
    </w:rPr>
  </w:style>
  <w:style w:type="paragraph" w:styleId="afc">
    <w:name w:val="Body Text First Indent"/>
    <w:basedOn w:val="afb"/>
    <w:link w:val="Chara"/>
    <w:semiHidden/>
    <w:rsid w:val="007F3BF7"/>
    <w:pPr>
      <w:ind w:firstLine="210"/>
    </w:pPr>
  </w:style>
  <w:style w:type="character" w:customStyle="1" w:styleId="Chara">
    <w:name w:val="正文首行缩进 Char"/>
    <w:basedOn w:val="Char9"/>
    <w:link w:val="afc"/>
    <w:semiHidden/>
    <w:rsid w:val="007F3BF7"/>
    <w:rPr>
      <w:rFonts w:ascii="Georgia" w:eastAsia="Times New Roman" w:hAnsi="Georgia" w:cs="Times New Roman"/>
      <w:szCs w:val="21"/>
      <w:lang w:val="nb-NO" w:eastAsia="nb-NO"/>
    </w:rPr>
  </w:style>
  <w:style w:type="paragraph" w:styleId="afd">
    <w:name w:val="Body Text Indent"/>
    <w:basedOn w:val="a2"/>
    <w:link w:val="Charb"/>
    <w:semiHidden/>
    <w:rsid w:val="007F3BF7"/>
    <w:pPr>
      <w:tabs>
        <w:tab w:val="left" w:pos="510"/>
      </w:tabs>
      <w:spacing w:after="120" w:line="326" w:lineRule="atLeast"/>
      <w:ind w:left="283"/>
    </w:pPr>
    <w:rPr>
      <w:rFonts w:ascii="Georgia" w:eastAsia="Times New Roman" w:hAnsi="Georgia" w:cs="Times New Roman"/>
      <w:szCs w:val="21"/>
      <w:lang w:val="nb-NO" w:eastAsia="nb-NO"/>
    </w:rPr>
  </w:style>
  <w:style w:type="character" w:customStyle="1" w:styleId="Charb">
    <w:name w:val="正文文本缩进 Char"/>
    <w:basedOn w:val="a3"/>
    <w:link w:val="afd"/>
    <w:semiHidden/>
    <w:rsid w:val="007F3BF7"/>
    <w:rPr>
      <w:rFonts w:ascii="Georgia" w:eastAsia="Times New Roman" w:hAnsi="Georgia" w:cs="Times New Roman"/>
      <w:szCs w:val="21"/>
      <w:lang w:val="nb-NO" w:eastAsia="nb-NO"/>
    </w:rPr>
  </w:style>
  <w:style w:type="paragraph" w:styleId="23">
    <w:name w:val="Body Text First Indent 2"/>
    <w:basedOn w:val="afd"/>
    <w:link w:val="2Char0"/>
    <w:semiHidden/>
    <w:rsid w:val="007F3BF7"/>
    <w:pPr>
      <w:ind w:firstLine="210"/>
    </w:pPr>
  </w:style>
  <w:style w:type="character" w:customStyle="1" w:styleId="2Char0">
    <w:name w:val="正文首行缩进 2 Char"/>
    <w:basedOn w:val="Charb"/>
    <w:link w:val="23"/>
    <w:semiHidden/>
    <w:rsid w:val="007F3BF7"/>
    <w:rPr>
      <w:rFonts w:ascii="Georgia" w:eastAsia="Times New Roman" w:hAnsi="Georgia" w:cs="Times New Roman"/>
      <w:szCs w:val="21"/>
      <w:lang w:val="nb-NO" w:eastAsia="nb-NO"/>
    </w:rPr>
  </w:style>
  <w:style w:type="paragraph" w:styleId="24">
    <w:name w:val="Body Text 2"/>
    <w:basedOn w:val="a2"/>
    <w:link w:val="2Char1"/>
    <w:semiHidden/>
    <w:rsid w:val="007F3BF7"/>
    <w:pPr>
      <w:tabs>
        <w:tab w:val="left" w:pos="510"/>
      </w:tabs>
      <w:spacing w:after="120" w:line="480" w:lineRule="auto"/>
    </w:pPr>
    <w:rPr>
      <w:rFonts w:ascii="Georgia" w:eastAsia="Times New Roman" w:hAnsi="Georgia" w:cs="Times New Roman"/>
      <w:szCs w:val="21"/>
      <w:lang w:val="nb-NO" w:eastAsia="nb-NO"/>
    </w:rPr>
  </w:style>
  <w:style w:type="character" w:customStyle="1" w:styleId="2Char1">
    <w:name w:val="正文文本 2 Char"/>
    <w:basedOn w:val="a3"/>
    <w:link w:val="24"/>
    <w:semiHidden/>
    <w:rsid w:val="007F3BF7"/>
    <w:rPr>
      <w:rFonts w:ascii="Georgia" w:eastAsia="Times New Roman" w:hAnsi="Georgia" w:cs="Times New Roman"/>
      <w:szCs w:val="21"/>
      <w:lang w:val="nb-NO" w:eastAsia="nb-NO"/>
    </w:rPr>
  </w:style>
  <w:style w:type="paragraph" w:styleId="35">
    <w:name w:val="Body Text 3"/>
    <w:basedOn w:val="a2"/>
    <w:link w:val="3Char0"/>
    <w:semiHidden/>
    <w:rsid w:val="007F3BF7"/>
    <w:pPr>
      <w:tabs>
        <w:tab w:val="left" w:pos="510"/>
      </w:tabs>
      <w:spacing w:after="120" w:line="326" w:lineRule="atLeast"/>
    </w:pPr>
    <w:rPr>
      <w:rFonts w:ascii="Georgia" w:eastAsia="Times New Roman" w:hAnsi="Georgia" w:cs="Times New Roman"/>
      <w:sz w:val="16"/>
      <w:szCs w:val="16"/>
      <w:lang w:val="nb-NO" w:eastAsia="nb-NO"/>
    </w:rPr>
  </w:style>
  <w:style w:type="character" w:customStyle="1" w:styleId="3Char0">
    <w:name w:val="正文文本 3 Char"/>
    <w:basedOn w:val="a3"/>
    <w:link w:val="35"/>
    <w:semiHidden/>
    <w:rsid w:val="007F3BF7"/>
    <w:rPr>
      <w:rFonts w:ascii="Georgia" w:eastAsia="Times New Roman" w:hAnsi="Georgia" w:cs="Times New Roman"/>
      <w:sz w:val="16"/>
      <w:szCs w:val="16"/>
      <w:lang w:val="nb-NO" w:eastAsia="nb-NO"/>
    </w:rPr>
  </w:style>
  <w:style w:type="paragraph" w:styleId="25">
    <w:name w:val="Body Text Indent 2"/>
    <w:basedOn w:val="a2"/>
    <w:link w:val="2Char2"/>
    <w:semiHidden/>
    <w:rsid w:val="007F3BF7"/>
    <w:pPr>
      <w:tabs>
        <w:tab w:val="left" w:pos="510"/>
      </w:tabs>
      <w:spacing w:after="120" w:line="480" w:lineRule="auto"/>
      <w:ind w:left="283"/>
    </w:pPr>
    <w:rPr>
      <w:rFonts w:ascii="Georgia" w:eastAsia="Times New Roman" w:hAnsi="Georgia" w:cs="Times New Roman"/>
      <w:szCs w:val="21"/>
      <w:lang w:val="nb-NO" w:eastAsia="nb-NO"/>
    </w:rPr>
  </w:style>
  <w:style w:type="character" w:customStyle="1" w:styleId="2Char2">
    <w:name w:val="正文文本缩进 2 Char"/>
    <w:basedOn w:val="a3"/>
    <w:link w:val="25"/>
    <w:semiHidden/>
    <w:rsid w:val="007F3BF7"/>
    <w:rPr>
      <w:rFonts w:ascii="Georgia" w:eastAsia="Times New Roman" w:hAnsi="Georgia" w:cs="Times New Roman"/>
      <w:szCs w:val="21"/>
      <w:lang w:val="nb-NO" w:eastAsia="nb-NO"/>
    </w:rPr>
  </w:style>
  <w:style w:type="paragraph" w:styleId="36">
    <w:name w:val="Body Text Indent 3"/>
    <w:basedOn w:val="a2"/>
    <w:link w:val="3Char1"/>
    <w:semiHidden/>
    <w:rsid w:val="007F3BF7"/>
    <w:pPr>
      <w:tabs>
        <w:tab w:val="left" w:pos="510"/>
      </w:tabs>
      <w:spacing w:after="120" w:line="326" w:lineRule="atLeast"/>
      <w:ind w:left="283"/>
    </w:pPr>
    <w:rPr>
      <w:rFonts w:ascii="Georgia" w:eastAsia="Times New Roman" w:hAnsi="Georgia" w:cs="Times New Roman"/>
      <w:sz w:val="16"/>
      <w:szCs w:val="16"/>
      <w:lang w:val="nb-NO" w:eastAsia="nb-NO"/>
    </w:rPr>
  </w:style>
  <w:style w:type="character" w:customStyle="1" w:styleId="3Char1">
    <w:name w:val="正文文本缩进 3 Char"/>
    <w:basedOn w:val="a3"/>
    <w:link w:val="36"/>
    <w:semiHidden/>
    <w:rsid w:val="007F3BF7"/>
    <w:rPr>
      <w:rFonts w:ascii="Georgia" w:eastAsia="Times New Roman" w:hAnsi="Georgia" w:cs="Times New Roman"/>
      <w:sz w:val="16"/>
      <w:szCs w:val="16"/>
      <w:lang w:val="nb-NO" w:eastAsia="nb-NO"/>
    </w:rPr>
  </w:style>
  <w:style w:type="paragraph" w:styleId="afe">
    <w:name w:val="Date"/>
    <w:basedOn w:val="a2"/>
    <w:next w:val="a2"/>
    <w:link w:val="Charc"/>
    <w:semiHidden/>
    <w:rsid w:val="007F3BF7"/>
    <w:pPr>
      <w:tabs>
        <w:tab w:val="left" w:pos="510"/>
      </w:tabs>
      <w:spacing w:after="0" w:line="326" w:lineRule="atLeast"/>
    </w:pPr>
    <w:rPr>
      <w:rFonts w:ascii="Georgia" w:eastAsia="Times New Roman" w:hAnsi="Georgia" w:cs="Times New Roman"/>
      <w:szCs w:val="21"/>
      <w:lang w:val="nb-NO" w:eastAsia="nb-NO"/>
    </w:rPr>
  </w:style>
  <w:style w:type="character" w:customStyle="1" w:styleId="Charc">
    <w:name w:val="日期 Char"/>
    <w:basedOn w:val="a3"/>
    <w:link w:val="afe"/>
    <w:semiHidden/>
    <w:rsid w:val="007F3BF7"/>
    <w:rPr>
      <w:rFonts w:ascii="Georgia" w:eastAsia="Times New Roman" w:hAnsi="Georgia" w:cs="Times New Roman"/>
      <w:szCs w:val="21"/>
      <w:lang w:val="nb-NO" w:eastAsia="nb-NO"/>
    </w:rPr>
  </w:style>
  <w:style w:type="paragraph" w:styleId="aff">
    <w:name w:val="E-mail Signature"/>
    <w:basedOn w:val="a2"/>
    <w:link w:val="Chard"/>
    <w:semiHidden/>
    <w:rsid w:val="007F3BF7"/>
    <w:pPr>
      <w:tabs>
        <w:tab w:val="left" w:pos="510"/>
      </w:tabs>
      <w:spacing w:after="0" w:line="326" w:lineRule="atLeast"/>
    </w:pPr>
    <w:rPr>
      <w:rFonts w:ascii="Georgia" w:eastAsia="Times New Roman" w:hAnsi="Georgia" w:cs="Times New Roman"/>
      <w:szCs w:val="21"/>
      <w:lang w:val="nb-NO" w:eastAsia="nb-NO"/>
    </w:rPr>
  </w:style>
  <w:style w:type="character" w:customStyle="1" w:styleId="Chard">
    <w:name w:val="电子邮件签名 Char"/>
    <w:basedOn w:val="a3"/>
    <w:link w:val="aff"/>
    <w:semiHidden/>
    <w:rsid w:val="007F3BF7"/>
    <w:rPr>
      <w:rFonts w:ascii="Georgia" w:eastAsia="Times New Roman" w:hAnsi="Georgia" w:cs="Times New Roman"/>
      <w:szCs w:val="21"/>
      <w:lang w:val="nb-NO" w:eastAsia="nb-NO"/>
    </w:rPr>
  </w:style>
  <w:style w:type="paragraph" w:styleId="aff0">
    <w:name w:val="Closing"/>
    <w:basedOn w:val="a2"/>
    <w:link w:val="Chare"/>
    <w:semiHidden/>
    <w:rsid w:val="007F3BF7"/>
    <w:pPr>
      <w:tabs>
        <w:tab w:val="left" w:pos="510"/>
      </w:tabs>
      <w:spacing w:after="0" w:line="326" w:lineRule="atLeast"/>
      <w:ind w:left="4252"/>
    </w:pPr>
    <w:rPr>
      <w:rFonts w:ascii="Georgia" w:eastAsia="Times New Roman" w:hAnsi="Georgia" w:cs="Times New Roman"/>
      <w:szCs w:val="21"/>
      <w:lang w:val="nb-NO" w:eastAsia="nb-NO"/>
    </w:rPr>
  </w:style>
  <w:style w:type="character" w:customStyle="1" w:styleId="Chare">
    <w:name w:val="结束语 Char"/>
    <w:basedOn w:val="a3"/>
    <w:link w:val="aff0"/>
    <w:semiHidden/>
    <w:rsid w:val="007F3BF7"/>
    <w:rPr>
      <w:rFonts w:ascii="Georgia" w:eastAsia="Times New Roman" w:hAnsi="Georgia" w:cs="Times New Roman"/>
      <w:szCs w:val="21"/>
      <w:lang w:val="nb-NO" w:eastAsia="nb-NO"/>
    </w:rPr>
  </w:style>
  <w:style w:type="paragraph" w:styleId="HTML">
    <w:name w:val="HTML Address"/>
    <w:basedOn w:val="a2"/>
    <w:link w:val="HTMLChar"/>
    <w:semiHidden/>
    <w:rsid w:val="007F3BF7"/>
    <w:pPr>
      <w:tabs>
        <w:tab w:val="left" w:pos="510"/>
      </w:tabs>
      <w:spacing w:after="0" w:line="326" w:lineRule="atLeast"/>
    </w:pPr>
    <w:rPr>
      <w:rFonts w:ascii="Georgia" w:eastAsia="Times New Roman" w:hAnsi="Georgia" w:cs="Times New Roman"/>
      <w:i/>
      <w:iCs/>
      <w:szCs w:val="21"/>
      <w:lang w:val="nb-NO" w:eastAsia="nb-NO"/>
    </w:rPr>
  </w:style>
  <w:style w:type="character" w:customStyle="1" w:styleId="HTMLChar">
    <w:name w:val="HTML 地址 Char"/>
    <w:basedOn w:val="a3"/>
    <w:link w:val="HTML"/>
    <w:semiHidden/>
    <w:rsid w:val="007F3BF7"/>
    <w:rPr>
      <w:rFonts w:ascii="Georgia" w:eastAsia="Times New Roman" w:hAnsi="Georgia" w:cs="Times New Roman"/>
      <w:i/>
      <w:iCs/>
      <w:szCs w:val="21"/>
      <w:lang w:val="nb-NO" w:eastAsia="nb-NO"/>
    </w:rPr>
  </w:style>
  <w:style w:type="paragraph" w:customStyle="1" w:styleId="Referances">
    <w:name w:val="Referances"/>
    <w:basedOn w:val="a2"/>
    <w:rsid w:val="007F3BF7"/>
    <w:pPr>
      <w:tabs>
        <w:tab w:val="left" w:pos="510"/>
      </w:tabs>
      <w:spacing w:after="0" w:line="326" w:lineRule="atLeast"/>
      <w:ind w:left="510" w:hanging="510"/>
    </w:pPr>
    <w:rPr>
      <w:rFonts w:ascii="Georgia" w:eastAsia="Times New Roman" w:hAnsi="Georgia" w:cs="Times New Roman"/>
      <w:szCs w:val="20"/>
      <w:lang w:eastAsia="nb-NO"/>
    </w:rPr>
  </w:style>
  <w:style w:type="paragraph" w:styleId="HTML0">
    <w:name w:val="HTML Preformatted"/>
    <w:basedOn w:val="a2"/>
    <w:link w:val="HTMLChar0"/>
    <w:uiPriority w:val="99"/>
    <w:rsid w:val="007F3BF7"/>
    <w:pPr>
      <w:tabs>
        <w:tab w:val="left" w:pos="510"/>
      </w:tabs>
      <w:spacing w:after="0" w:line="326" w:lineRule="atLeast"/>
    </w:pPr>
    <w:rPr>
      <w:rFonts w:ascii="Courier New" w:eastAsia="Times New Roman" w:hAnsi="Courier New" w:cs="Courier New"/>
      <w:szCs w:val="20"/>
      <w:lang w:val="nb-NO" w:eastAsia="nb-NO"/>
    </w:rPr>
  </w:style>
  <w:style w:type="character" w:customStyle="1" w:styleId="HTMLChar0">
    <w:name w:val="HTML 预设格式 Char"/>
    <w:basedOn w:val="a3"/>
    <w:link w:val="HTML0"/>
    <w:uiPriority w:val="99"/>
    <w:rsid w:val="007F3BF7"/>
    <w:rPr>
      <w:rFonts w:ascii="Courier New" w:eastAsia="Times New Roman" w:hAnsi="Courier New" w:cs="Courier New"/>
      <w:szCs w:val="20"/>
      <w:lang w:val="nb-NO" w:eastAsia="nb-NO"/>
    </w:rPr>
  </w:style>
  <w:style w:type="paragraph" w:styleId="aff1">
    <w:name w:val="Salutation"/>
    <w:basedOn w:val="a2"/>
    <w:next w:val="a2"/>
    <w:link w:val="Charf"/>
    <w:semiHidden/>
    <w:rsid w:val="007F3BF7"/>
    <w:pPr>
      <w:tabs>
        <w:tab w:val="left" w:pos="510"/>
      </w:tabs>
      <w:spacing w:after="0" w:line="326" w:lineRule="atLeast"/>
    </w:pPr>
    <w:rPr>
      <w:rFonts w:ascii="Georgia" w:eastAsia="Times New Roman" w:hAnsi="Georgia" w:cs="Times New Roman"/>
      <w:szCs w:val="21"/>
      <w:lang w:val="nb-NO" w:eastAsia="nb-NO"/>
    </w:rPr>
  </w:style>
  <w:style w:type="character" w:customStyle="1" w:styleId="Charf">
    <w:name w:val="称呼 Char"/>
    <w:basedOn w:val="a3"/>
    <w:link w:val="aff1"/>
    <w:semiHidden/>
    <w:rsid w:val="007F3BF7"/>
    <w:rPr>
      <w:rFonts w:ascii="Georgia" w:eastAsia="Times New Roman" w:hAnsi="Georgia" w:cs="Times New Roman"/>
      <w:szCs w:val="21"/>
      <w:lang w:val="nb-NO" w:eastAsia="nb-NO"/>
    </w:rPr>
  </w:style>
  <w:style w:type="paragraph" w:styleId="aff2">
    <w:name w:val="envelope address"/>
    <w:basedOn w:val="a2"/>
    <w:semiHidden/>
    <w:rsid w:val="007F3BF7"/>
    <w:pPr>
      <w:framePr w:w="7920" w:h="1980" w:hRule="exact" w:hSpace="141" w:wrap="auto" w:hAnchor="page" w:xAlign="center" w:yAlign="bottom"/>
      <w:tabs>
        <w:tab w:val="left" w:pos="510"/>
      </w:tabs>
      <w:spacing w:after="0" w:line="326" w:lineRule="atLeast"/>
      <w:ind w:left="2880"/>
    </w:pPr>
    <w:rPr>
      <w:rFonts w:ascii="Arial" w:eastAsia="Times New Roman" w:hAnsi="Arial" w:cs="Arial"/>
      <w:sz w:val="24"/>
      <w:szCs w:val="21"/>
      <w:lang w:val="nb-NO" w:eastAsia="nb-NO"/>
    </w:rPr>
  </w:style>
  <w:style w:type="paragraph" w:styleId="aff3">
    <w:name w:val="List"/>
    <w:basedOn w:val="a2"/>
    <w:semiHidden/>
    <w:rsid w:val="007F3BF7"/>
    <w:pPr>
      <w:tabs>
        <w:tab w:val="left" w:pos="510"/>
      </w:tabs>
      <w:spacing w:after="0" w:line="326" w:lineRule="atLeast"/>
      <w:ind w:left="283" w:hanging="283"/>
    </w:pPr>
    <w:rPr>
      <w:rFonts w:ascii="Georgia" w:eastAsia="Times New Roman" w:hAnsi="Georgia" w:cs="Times New Roman"/>
      <w:szCs w:val="21"/>
      <w:lang w:val="nb-NO" w:eastAsia="nb-NO"/>
    </w:rPr>
  </w:style>
  <w:style w:type="paragraph" w:styleId="aff4">
    <w:name w:val="List Continue"/>
    <w:basedOn w:val="a2"/>
    <w:semiHidden/>
    <w:rsid w:val="007F3BF7"/>
    <w:pPr>
      <w:tabs>
        <w:tab w:val="left" w:pos="510"/>
      </w:tabs>
      <w:spacing w:after="120" w:line="326" w:lineRule="atLeast"/>
      <w:ind w:left="283"/>
    </w:pPr>
    <w:rPr>
      <w:rFonts w:ascii="Georgia" w:eastAsia="Times New Roman" w:hAnsi="Georgia" w:cs="Times New Roman"/>
      <w:szCs w:val="21"/>
      <w:lang w:val="nb-NO" w:eastAsia="nb-NO"/>
    </w:rPr>
  </w:style>
  <w:style w:type="paragraph" w:styleId="26">
    <w:name w:val="List Continue 2"/>
    <w:basedOn w:val="a2"/>
    <w:semiHidden/>
    <w:rsid w:val="007F3BF7"/>
    <w:pPr>
      <w:tabs>
        <w:tab w:val="left" w:pos="510"/>
      </w:tabs>
      <w:spacing w:after="120" w:line="326" w:lineRule="atLeast"/>
      <w:ind w:left="566"/>
    </w:pPr>
    <w:rPr>
      <w:rFonts w:ascii="Georgia" w:eastAsia="Times New Roman" w:hAnsi="Georgia" w:cs="Times New Roman"/>
      <w:szCs w:val="21"/>
      <w:lang w:val="nb-NO" w:eastAsia="nb-NO"/>
    </w:rPr>
  </w:style>
  <w:style w:type="paragraph" w:styleId="37">
    <w:name w:val="List Continue 3"/>
    <w:basedOn w:val="a2"/>
    <w:semiHidden/>
    <w:rsid w:val="007F3BF7"/>
    <w:pPr>
      <w:tabs>
        <w:tab w:val="left" w:pos="510"/>
      </w:tabs>
      <w:spacing w:after="120" w:line="326" w:lineRule="atLeast"/>
      <w:ind w:left="849"/>
    </w:pPr>
    <w:rPr>
      <w:rFonts w:ascii="Georgia" w:eastAsia="Times New Roman" w:hAnsi="Georgia" w:cs="Times New Roman"/>
      <w:szCs w:val="21"/>
      <w:lang w:val="nb-NO" w:eastAsia="nb-NO"/>
    </w:rPr>
  </w:style>
  <w:style w:type="paragraph" w:styleId="44">
    <w:name w:val="List Continue 4"/>
    <w:basedOn w:val="a2"/>
    <w:semiHidden/>
    <w:rsid w:val="007F3BF7"/>
    <w:pPr>
      <w:tabs>
        <w:tab w:val="left" w:pos="510"/>
      </w:tabs>
      <w:spacing w:after="120" w:line="326" w:lineRule="atLeast"/>
      <w:ind w:left="1132"/>
    </w:pPr>
    <w:rPr>
      <w:rFonts w:ascii="Georgia" w:eastAsia="Times New Roman" w:hAnsi="Georgia" w:cs="Times New Roman"/>
      <w:szCs w:val="21"/>
      <w:lang w:val="nb-NO" w:eastAsia="nb-NO"/>
    </w:rPr>
  </w:style>
  <w:style w:type="paragraph" w:styleId="54">
    <w:name w:val="List Continue 5"/>
    <w:basedOn w:val="a2"/>
    <w:semiHidden/>
    <w:rsid w:val="007F3BF7"/>
    <w:pPr>
      <w:tabs>
        <w:tab w:val="left" w:pos="510"/>
      </w:tabs>
      <w:spacing w:after="120" w:line="326" w:lineRule="atLeast"/>
      <w:ind w:left="1415"/>
    </w:pPr>
    <w:rPr>
      <w:rFonts w:ascii="Georgia" w:eastAsia="Times New Roman" w:hAnsi="Georgia" w:cs="Times New Roman"/>
      <w:szCs w:val="21"/>
      <w:lang w:val="nb-NO" w:eastAsia="nb-NO"/>
    </w:rPr>
  </w:style>
  <w:style w:type="paragraph" w:styleId="27">
    <w:name w:val="List 2"/>
    <w:basedOn w:val="a2"/>
    <w:semiHidden/>
    <w:rsid w:val="007F3BF7"/>
    <w:pPr>
      <w:tabs>
        <w:tab w:val="left" w:pos="510"/>
      </w:tabs>
      <w:spacing w:after="0" w:line="326" w:lineRule="atLeast"/>
      <w:ind w:left="566" w:hanging="283"/>
    </w:pPr>
    <w:rPr>
      <w:rFonts w:ascii="Georgia" w:eastAsia="Times New Roman" w:hAnsi="Georgia" w:cs="Times New Roman"/>
      <w:szCs w:val="21"/>
      <w:lang w:val="nb-NO" w:eastAsia="nb-NO"/>
    </w:rPr>
  </w:style>
  <w:style w:type="paragraph" w:styleId="38">
    <w:name w:val="List 3"/>
    <w:basedOn w:val="a2"/>
    <w:semiHidden/>
    <w:rsid w:val="007F3BF7"/>
    <w:pPr>
      <w:tabs>
        <w:tab w:val="left" w:pos="510"/>
      </w:tabs>
      <w:spacing w:after="0" w:line="326" w:lineRule="atLeast"/>
      <w:ind w:left="849" w:hanging="283"/>
    </w:pPr>
    <w:rPr>
      <w:rFonts w:ascii="Georgia" w:eastAsia="Times New Roman" w:hAnsi="Georgia" w:cs="Times New Roman"/>
      <w:szCs w:val="21"/>
      <w:lang w:val="nb-NO" w:eastAsia="nb-NO"/>
    </w:rPr>
  </w:style>
  <w:style w:type="paragraph" w:styleId="45">
    <w:name w:val="List 4"/>
    <w:basedOn w:val="a2"/>
    <w:semiHidden/>
    <w:rsid w:val="007F3BF7"/>
    <w:pPr>
      <w:tabs>
        <w:tab w:val="left" w:pos="510"/>
      </w:tabs>
      <w:spacing w:after="0" w:line="326" w:lineRule="atLeast"/>
      <w:ind w:left="1132" w:hanging="283"/>
    </w:pPr>
    <w:rPr>
      <w:rFonts w:ascii="Georgia" w:eastAsia="Times New Roman" w:hAnsi="Georgia" w:cs="Times New Roman"/>
      <w:szCs w:val="21"/>
      <w:lang w:val="nb-NO" w:eastAsia="nb-NO"/>
    </w:rPr>
  </w:style>
  <w:style w:type="paragraph" w:styleId="55">
    <w:name w:val="List 5"/>
    <w:basedOn w:val="a2"/>
    <w:semiHidden/>
    <w:rsid w:val="007F3BF7"/>
    <w:pPr>
      <w:tabs>
        <w:tab w:val="left" w:pos="510"/>
      </w:tabs>
      <w:spacing w:after="0" w:line="326" w:lineRule="atLeast"/>
      <w:ind w:left="1415" w:hanging="283"/>
    </w:pPr>
    <w:rPr>
      <w:rFonts w:ascii="Georgia" w:eastAsia="Times New Roman" w:hAnsi="Georgia" w:cs="Times New Roman"/>
      <w:szCs w:val="21"/>
      <w:lang w:val="nb-NO" w:eastAsia="nb-NO"/>
    </w:rPr>
  </w:style>
  <w:style w:type="paragraph" w:styleId="aff5">
    <w:name w:val="Message Header"/>
    <w:basedOn w:val="a2"/>
    <w:link w:val="Charf0"/>
    <w:semiHidden/>
    <w:rsid w:val="007F3BF7"/>
    <w:pPr>
      <w:pBdr>
        <w:top w:val="single" w:sz="6" w:space="1" w:color="auto"/>
        <w:left w:val="single" w:sz="6" w:space="1" w:color="auto"/>
        <w:bottom w:val="single" w:sz="6" w:space="1" w:color="auto"/>
        <w:right w:val="single" w:sz="6" w:space="1" w:color="auto"/>
      </w:pBdr>
      <w:shd w:val="pct20" w:color="auto" w:fill="auto"/>
      <w:tabs>
        <w:tab w:val="left" w:pos="510"/>
      </w:tabs>
      <w:spacing w:after="0" w:line="326" w:lineRule="atLeast"/>
      <w:ind w:left="1134" w:hanging="1134"/>
    </w:pPr>
    <w:rPr>
      <w:rFonts w:ascii="Arial" w:eastAsia="Times New Roman" w:hAnsi="Arial" w:cs="Arial"/>
      <w:sz w:val="24"/>
      <w:szCs w:val="21"/>
      <w:lang w:val="nb-NO" w:eastAsia="nb-NO"/>
    </w:rPr>
  </w:style>
  <w:style w:type="character" w:customStyle="1" w:styleId="Charf0">
    <w:name w:val="信息标题 Char"/>
    <w:basedOn w:val="a3"/>
    <w:link w:val="aff5"/>
    <w:semiHidden/>
    <w:rsid w:val="007F3BF7"/>
    <w:rPr>
      <w:rFonts w:ascii="Arial" w:eastAsia="Times New Roman" w:hAnsi="Arial" w:cs="Arial"/>
      <w:sz w:val="24"/>
      <w:szCs w:val="21"/>
      <w:shd w:val="pct20" w:color="auto" w:fill="auto"/>
      <w:lang w:val="nb-NO" w:eastAsia="nb-NO"/>
    </w:rPr>
  </w:style>
  <w:style w:type="paragraph" w:customStyle="1" w:styleId="Kolofonnormalright">
    <w:name w:val="Kolofon normal right"/>
    <w:basedOn w:val="a2"/>
    <w:link w:val="KolofonnormalrightChar"/>
    <w:qFormat/>
    <w:rsid w:val="007F3BF7"/>
    <w:pPr>
      <w:spacing w:after="0" w:line="326" w:lineRule="atLeast"/>
    </w:pPr>
    <w:rPr>
      <w:rFonts w:ascii="Georgia" w:eastAsia="Times New Roman" w:hAnsi="Georgia" w:cs="Times New Roman"/>
      <w:noProof/>
      <w:sz w:val="20"/>
      <w:szCs w:val="21"/>
      <w:lang w:val="en-US" w:eastAsia="nb-NO"/>
    </w:rPr>
  </w:style>
  <w:style w:type="paragraph" w:styleId="aff6">
    <w:name w:val="Note Heading"/>
    <w:basedOn w:val="a2"/>
    <w:next w:val="a2"/>
    <w:link w:val="Charf1"/>
    <w:semiHidden/>
    <w:rsid w:val="007F3BF7"/>
    <w:pPr>
      <w:tabs>
        <w:tab w:val="left" w:pos="510"/>
      </w:tabs>
      <w:spacing w:after="0" w:line="326" w:lineRule="atLeast"/>
    </w:pPr>
    <w:rPr>
      <w:rFonts w:ascii="Georgia" w:eastAsia="Times New Roman" w:hAnsi="Georgia" w:cs="Times New Roman"/>
      <w:szCs w:val="21"/>
      <w:lang w:val="nb-NO" w:eastAsia="nb-NO"/>
    </w:rPr>
  </w:style>
  <w:style w:type="character" w:customStyle="1" w:styleId="Charf1">
    <w:name w:val="注释标题 Char"/>
    <w:basedOn w:val="a3"/>
    <w:link w:val="aff6"/>
    <w:semiHidden/>
    <w:rsid w:val="007F3BF7"/>
    <w:rPr>
      <w:rFonts w:ascii="Georgia" w:eastAsia="Times New Roman" w:hAnsi="Georgia" w:cs="Times New Roman"/>
      <w:szCs w:val="21"/>
      <w:lang w:val="nb-NO" w:eastAsia="nb-NO"/>
    </w:rPr>
  </w:style>
  <w:style w:type="paragraph" w:styleId="a">
    <w:name w:val="List Number"/>
    <w:basedOn w:val="a2"/>
    <w:semiHidden/>
    <w:rsid w:val="007F3BF7"/>
    <w:pPr>
      <w:numPr>
        <w:numId w:val="8"/>
      </w:numPr>
      <w:tabs>
        <w:tab w:val="left" w:pos="510"/>
      </w:tabs>
      <w:spacing w:after="0" w:line="326" w:lineRule="atLeast"/>
    </w:pPr>
    <w:rPr>
      <w:rFonts w:ascii="Georgia" w:eastAsia="Times New Roman" w:hAnsi="Georgia" w:cs="Times New Roman"/>
      <w:szCs w:val="21"/>
      <w:lang w:val="nb-NO" w:eastAsia="nb-NO"/>
    </w:rPr>
  </w:style>
  <w:style w:type="paragraph" w:styleId="2">
    <w:name w:val="List Number 2"/>
    <w:basedOn w:val="a2"/>
    <w:semiHidden/>
    <w:rsid w:val="007F3BF7"/>
    <w:pPr>
      <w:numPr>
        <w:numId w:val="6"/>
      </w:numPr>
      <w:tabs>
        <w:tab w:val="left" w:pos="510"/>
      </w:tabs>
      <w:spacing w:after="0" w:line="326" w:lineRule="atLeast"/>
    </w:pPr>
    <w:rPr>
      <w:rFonts w:ascii="Georgia" w:eastAsia="Times New Roman" w:hAnsi="Georgia" w:cs="Times New Roman"/>
      <w:szCs w:val="21"/>
      <w:lang w:val="nb-NO" w:eastAsia="nb-NO"/>
    </w:rPr>
  </w:style>
  <w:style w:type="paragraph" w:styleId="3">
    <w:name w:val="List Number 3"/>
    <w:basedOn w:val="a2"/>
    <w:semiHidden/>
    <w:rsid w:val="007F3BF7"/>
    <w:pPr>
      <w:numPr>
        <w:numId w:val="7"/>
      </w:numPr>
      <w:tabs>
        <w:tab w:val="left" w:pos="510"/>
      </w:tabs>
      <w:spacing w:after="0" w:line="326" w:lineRule="atLeast"/>
    </w:pPr>
    <w:rPr>
      <w:rFonts w:ascii="Georgia" w:eastAsia="Times New Roman" w:hAnsi="Georgia" w:cs="Times New Roman"/>
      <w:szCs w:val="21"/>
      <w:lang w:val="nb-NO" w:eastAsia="nb-NO"/>
    </w:rPr>
  </w:style>
  <w:style w:type="paragraph" w:styleId="4">
    <w:name w:val="List Number 4"/>
    <w:basedOn w:val="a2"/>
    <w:semiHidden/>
    <w:rsid w:val="007F3BF7"/>
    <w:pPr>
      <w:numPr>
        <w:numId w:val="4"/>
      </w:numPr>
      <w:tabs>
        <w:tab w:val="left" w:pos="510"/>
      </w:tabs>
      <w:spacing w:after="0" w:line="326" w:lineRule="atLeast"/>
    </w:pPr>
    <w:rPr>
      <w:rFonts w:ascii="Georgia" w:eastAsia="Times New Roman" w:hAnsi="Georgia" w:cs="Times New Roman"/>
      <w:szCs w:val="21"/>
      <w:lang w:val="nb-NO" w:eastAsia="nb-NO"/>
    </w:rPr>
  </w:style>
  <w:style w:type="paragraph" w:styleId="5">
    <w:name w:val="List Number 5"/>
    <w:basedOn w:val="a2"/>
    <w:semiHidden/>
    <w:rsid w:val="007F3BF7"/>
    <w:pPr>
      <w:numPr>
        <w:numId w:val="5"/>
      </w:numPr>
      <w:tabs>
        <w:tab w:val="left" w:pos="510"/>
      </w:tabs>
      <w:spacing w:after="0" w:line="326" w:lineRule="atLeast"/>
    </w:pPr>
    <w:rPr>
      <w:rFonts w:ascii="Georgia" w:eastAsia="Times New Roman" w:hAnsi="Georgia" w:cs="Times New Roman"/>
      <w:szCs w:val="21"/>
      <w:lang w:val="nb-NO" w:eastAsia="nb-NO"/>
    </w:rPr>
  </w:style>
  <w:style w:type="paragraph" w:styleId="30">
    <w:name w:val="List Bullet 3"/>
    <w:basedOn w:val="a2"/>
    <w:semiHidden/>
    <w:rsid w:val="007F3BF7"/>
    <w:pPr>
      <w:numPr>
        <w:numId w:val="1"/>
      </w:numPr>
      <w:tabs>
        <w:tab w:val="left" w:pos="510"/>
      </w:tabs>
      <w:spacing w:after="0" w:line="326" w:lineRule="atLeast"/>
      <w:ind w:left="0" w:firstLine="0"/>
    </w:pPr>
    <w:rPr>
      <w:rFonts w:ascii="Georgia" w:eastAsia="Times New Roman" w:hAnsi="Georgia" w:cs="Times New Roman"/>
      <w:szCs w:val="21"/>
      <w:lang w:val="nb-NO" w:eastAsia="nb-NO"/>
    </w:rPr>
  </w:style>
  <w:style w:type="paragraph" w:styleId="40">
    <w:name w:val="List Bullet 4"/>
    <w:basedOn w:val="a2"/>
    <w:semiHidden/>
    <w:rsid w:val="007F3BF7"/>
    <w:pPr>
      <w:numPr>
        <w:numId w:val="2"/>
      </w:numPr>
      <w:tabs>
        <w:tab w:val="left" w:pos="510"/>
      </w:tabs>
      <w:spacing w:after="0" w:line="326" w:lineRule="atLeast"/>
    </w:pPr>
    <w:rPr>
      <w:rFonts w:ascii="Georgia" w:eastAsia="Times New Roman" w:hAnsi="Georgia" w:cs="Times New Roman"/>
      <w:szCs w:val="21"/>
      <w:lang w:val="nb-NO" w:eastAsia="nb-NO"/>
    </w:rPr>
  </w:style>
  <w:style w:type="paragraph" w:styleId="50">
    <w:name w:val="List Bullet 5"/>
    <w:basedOn w:val="a2"/>
    <w:semiHidden/>
    <w:rsid w:val="007F3BF7"/>
    <w:pPr>
      <w:numPr>
        <w:numId w:val="3"/>
      </w:numPr>
      <w:tabs>
        <w:tab w:val="left" w:pos="510"/>
      </w:tabs>
      <w:spacing w:after="0" w:line="326" w:lineRule="atLeast"/>
    </w:pPr>
    <w:rPr>
      <w:rFonts w:ascii="Georgia" w:eastAsia="Times New Roman" w:hAnsi="Georgia" w:cs="Times New Roman"/>
      <w:szCs w:val="21"/>
      <w:lang w:val="nb-NO" w:eastAsia="nb-NO"/>
    </w:rPr>
  </w:style>
  <w:style w:type="paragraph" w:styleId="aff7">
    <w:name w:val="Plain Text"/>
    <w:basedOn w:val="a2"/>
    <w:link w:val="Charf2"/>
    <w:uiPriority w:val="99"/>
    <w:rsid w:val="007F3BF7"/>
    <w:pPr>
      <w:tabs>
        <w:tab w:val="left" w:pos="510"/>
      </w:tabs>
      <w:spacing w:after="0" w:line="326" w:lineRule="atLeast"/>
    </w:pPr>
    <w:rPr>
      <w:rFonts w:ascii="Courier New" w:eastAsia="Times New Roman" w:hAnsi="Courier New" w:cs="Courier New"/>
      <w:szCs w:val="20"/>
      <w:lang w:val="nb-NO" w:eastAsia="nb-NO"/>
    </w:rPr>
  </w:style>
  <w:style w:type="character" w:customStyle="1" w:styleId="Charf2">
    <w:name w:val="纯文本 Char"/>
    <w:basedOn w:val="a3"/>
    <w:link w:val="aff7"/>
    <w:uiPriority w:val="99"/>
    <w:rsid w:val="007F3BF7"/>
    <w:rPr>
      <w:rFonts w:ascii="Courier New" w:eastAsia="Times New Roman" w:hAnsi="Courier New" w:cs="Courier New"/>
      <w:szCs w:val="20"/>
      <w:lang w:val="nb-NO" w:eastAsia="nb-NO"/>
    </w:rPr>
  </w:style>
  <w:style w:type="paragraph" w:customStyle="1" w:styleId="Tabelltekst">
    <w:name w:val="Tabelltekst"/>
    <w:link w:val="TabelltekstTegn"/>
    <w:qFormat/>
    <w:rsid w:val="007F3BF7"/>
    <w:pPr>
      <w:tabs>
        <w:tab w:val="left" w:pos="510"/>
      </w:tabs>
      <w:spacing w:after="0" w:line="240" w:lineRule="auto"/>
    </w:pPr>
    <w:rPr>
      <w:rFonts w:ascii="Arial Narrow" w:eastAsia="Times New Roman" w:hAnsi="Arial Narrow" w:cs="Times New Roman"/>
      <w:noProof/>
      <w:szCs w:val="24"/>
      <w:lang w:val="nb-NO" w:eastAsia="nb-NO"/>
    </w:rPr>
  </w:style>
  <w:style w:type="paragraph" w:styleId="aff8">
    <w:name w:val="Signature"/>
    <w:basedOn w:val="a2"/>
    <w:link w:val="Charf3"/>
    <w:semiHidden/>
    <w:rsid w:val="007F3BF7"/>
    <w:pPr>
      <w:tabs>
        <w:tab w:val="left" w:pos="510"/>
      </w:tabs>
      <w:spacing w:after="0" w:line="326" w:lineRule="atLeast"/>
      <w:ind w:left="4252"/>
    </w:pPr>
    <w:rPr>
      <w:rFonts w:ascii="Georgia" w:eastAsia="Times New Roman" w:hAnsi="Georgia" w:cs="Times New Roman"/>
      <w:szCs w:val="21"/>
      <w:lang w:val="nb-NO" w:eastAsia="nb-NO"/>
    </w:rPr>
  </w:style>
  <w:style w:type="character" w:customStyle="1" w:styleId="Charf3">
    <w:name w:val="签名 Char"/>
    <w:basedOn w:val="a3"/>
    <w:link w:val="aff8"/>
    <w:semiHidden/>
    <w:rsid w:val="007F3BF7"/>
    <w:rPr>
      <w:rFonts w:ascii="Georgia" w:eastAsia="Times New Roman" w:hAnsi="Georgia" w:cs="Times New Roman"/>
      <w:szCs w:val="21"/>
      <w:lang w:val="nb-NO" w:eastAsia="nb-NO"/>
    </w:rPr>
  </w:style>
  <w:style w:type="paragraph" w:customStyle="1" w:styleId="boksoverskriftstor">
    <w:name w:val="boks overskrift stor"/>
    <w:basedOn w:val="Tabelltekst"/>
    <w:link w:val="boksoverskriftstorChar"/>
    <w:qFormat/>
    <w:rsid w:val="007F3BF7"/>
    <w:pPr>
      <w:spacing w:after="80"/>
    </w:pPr>
    <w:rPr>
      <w:sz w:val="32"/>
    </w:rPr>
  </w:style>
  <w:style w:type="paragraph" w:styleId="aff9">
    <w:name w:val="Normal Indent"/>
    <w:basedOn w:val="a2"/>
    <w:semiHidden/>
    <w:rsid w:val="007F3BF7"/>
    <w:pPr>
      <w:tabs>
        <w:tab w:val="left" w:pos="510"/>
      </w:tabs>
      <w:spacing w:after="0" w:line="326" w:lineRule="atLeast"/>
      <w:ind w:left="708"/>
    </w:pPr>
    <w:rPr>
      <w:rFonts w:ascii="Georgia" w:eastAsia="Times New Roman" w:hAnsi="Georgia" w:cs="Times New Roman"/>
      <w:szCs w:val="21"/>
      <w:lang w:val="nb-NO" w:eastAsia="nb-NO"/>
    </w:rPr>
  </w:style>
  <w:style w:type="numbering" w:styleId="a0">
    <w:name w:val="Outline List 3"/>
    <w:basedOn w:val="a5"/>
    <w:semiHidden/>
    <w:rsid w:val="007F3BF7"/>
    <w:pPr>
      <w:numPr>
        <w:numId w:val="10"/>
      </w:numPr>
    </w:pPr>
  </w:style>
  <w:style w:type="table" w:styleId="12">
    <w:name w:val="Table Simple 1"/>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affa">
    <w:name w:val="FollowedHyperlink"/>
    <w:basedOn w:val="a3"/>
    <w:rsid w:val="007F3BF7"/>
    <w:rPr>
      <w:color w:val="800080"/>
      <w:u w:val="single"/>
    </w:rPr>
  </w:style>
  <w:style w:type="character" w:styleId="HTML1">
    <w:name w:val="HTML Acronym"/>
    <w:basedOn w:val="a3"/>
    <w:semiHidden/>
    <w:rsid w:val="007F3BF7"/>
  </w:style>
  <w:style w:type="character" w:styleId="HTML2">
    <w:name w:val="HTML Definition"/>
    <w:basedOn w:val="a3"/>
    <w:semiHidden/>
    <w:rsid w:val="007F3BF7"/>
    <w:rPr>
      <w:i/>
      <w:iCs/>
    </w:rPr>
  </w:style>
  <w:style w:type="character" w:styleId="HTML3">
    <w:name w:val="HTML Sample"/>
    <w:basedOn w:val="a3"/>
    <w:semiHidden/>
    <w:rsid w:val="007F3BF7"/>
    <w:rPr>
      <w:rFonts w:ascii="Courier New" w:hAnsi="Courier New" w:cs="Courier New"/>
    </w:rPr>
  </w:style>
  <w:style w:type="character" w:styleId="HTML4">
    <w:name w:val="HTML Code"/>
    <w:basedOn w:val="a3"/>
    <w:semiHidden/>
    <w:rsid w:val="007F3BF7"/>
    <w:rPr>
      <w:rFonts w:ascii="Courier New" w:hAnsi="Courier New" w:cs="Courier New"/>
      <w:sz w:val="20"/>
      <w:szCs w:val="20"/>
    </w:rPr>
  </w:style>
  <w:style w:type="character" w:styleId="HTML5">
    <w:name w:val="HTML Cite"/>
    <w:basedOn w:val="a3"/>
    <w:semiHidden/>
    <w:rsid w:val="007F3BF7"/>
    <w:rPr>
      <w:i/>
      <w:iCs/>
    </w:rPr>
  </w:style>
  <w:style w:type="character" w:styleId="HTML6">
    <w:name w:val="HTML Typewriter"/>
    <w:basedOn w:val="a3"/>
    <w:semiHidden/>
    <w:rsid w:val="007F3BF7"/>
    <w:rPr>
      <w:rFonts w:ascii="Courier New" w:hAnsi="Courier New" w:cs="Courier New"/>
      <w:sz w:val="20"/>
      <w:szCs w:val="20"/>
    </w:rPr>
  </w:style>
  <w:style w:type="character" w:styleId="HTML7">
    <w:name w:val="HTML Keyboard"/>
    <w:basedOn w:val="a3"/>
    <w:semiHidden/>
    <w:rsid w:val="007F3BF7"/>
    <w:rPr>
      <w:rFonts w:ascii="Courier New" w:hAnsi="Courier New" w:cs="Courier New"/>
      <w:sz w:val="20"/>
      <w:szCs w:val="20"/>
    </w:rPr>
  </w:style>
  <w:style w:type="character" w:styleId="HTML8">
    <w:name w:val="HTML Variable"/>
    <w:basedOn w:val="a3"/>
    <w:semiHidden/>
    <w:rsid w:val="007F3BF7"/>
    <w:rPr>
      <w:i/>
      <w:iCs/>
    </w:rPr>
  </w:style>
  <w:style w:type="character" w:styleId="affb">
    <w:name w:val="line number"/>
    <w:basedOn w:val="a3"/>
    <w:semiHidden/>
    <w:rsid w:val="007F3BF7"/>
  </w:style>
  <w:style w:type="paragraph" w:customStyle="1" w:styleId="boksbodytekst">
    <w:name w:val="boks bodytekst"/>
    <w:basedOn w:val="Tabelltekst"/>
    <w:link w:val="boksbodytekstTegn"/>
    <w:qFormat/>
    <w:rsid w:val="007F3BF7"/>
  </w:style>
  <w:style w:type="table" w:styleId="13">
    <w:name w:val="Table 3D effects 1"/>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c">
    <w:name w:val="Table Elegant"/>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7F3BF7"/>
    <w:pPr>
      <w:tabs>
        <w:tab w:val="left" w:pos="510"/>
      </w:tabs>
      <w:spacing w:after="0" w:line="300" w:lineRule="exact"/>
    </w:pPr>
    <w:rPr>
      <w:rFonts w:ascii="Times New Roman" w:eastAsia="Times New Roman" w:hAnsi="Times New Roman" w:cs="Times New Roman"/>
      <w:color w:val="FFFFFF"/>
      <w:sz w:val="20"/>
      <w:szCs w:val="20"/>
      <w:lang w:val="nb-NO" w:eastAsia="nb-N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semiHidden/>
    <w:rsid w:val="007F3BF7"/>
    <w:pPr>
      <w:tabs>
        <w:tab w:val="left" w:pos="510"/>
      </w:tabs>
      <w:spacing w:after="0" w:line="300" w:lineRule="exact"/>
    </w:pPr>
    <w:rPr>
      <w:rFonts w:ascii="Times New Roman" w:eastAsia="Times New Roman" w:hAnsi="Times New Roman" w:cs="Times New Roman"/>
      <w:color w:val="000080"/>
      <w:sz w:val="20"/>
      <w:szCs w:val="20"/>
      <w:lang w:val="nb-NO" w:eastAsia="nb-N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d">
    <w:name w:val="Table Contemporary"/>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e">
    <w:name w:val="Table Professional"/>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Web 1"/>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d">
    <w:name w:val="Table Web 2"/>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8">
    <w:name w:val="Table List 1"/>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List 2"/>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7">
    <w:name w:val="Table List 4"/>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9">
    <w:name w:val="Table Columns 1"/>
    <w:basedOn w:val="a4"/>
    <w:semiHidden/>
    <w:rsid w:val="007F3BF7"/>
    <w:pPr>
      <w:tabs>
        <w:tab w:val="left" w:pos="510"/>
      </w:tabs>
      <w:spacing w:after="0" w:line="300" w:lineRule="exact"/>
    </w:pPr>
    <w:rPr>
      <w:rFonts w:ascii="Times New Roman" w:eastAsia="Times New Roman" w:hAnsi="Times New Roman" w:cs="Times New Roman"/>
      <w:b/>
      <w:bCs/>
      <w:sz w:val="20"/>
      <w:szCs w:val="20"/>
      <w:lang w:val="nb-NO" w:eastAsia="nb-N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7F3BF7"/>
    <w:pPr>
      <w:tabs>
        <w:tab w:val="left" w:pos="510"/>
      </w:tabs>
      <w:spacing w:after="0" w:line="300" w:lineRule="exact"/>
    </w:pPr>
    <w:rPr>
      <w:rFonts w:ascii="Times New Roman" w:eastAsia="Times New Roman" w:hAnsi="Times New Roman" w:cs="Times New Roman"/>
      <w:b/>
      <w:bCs/>
      <w:sz w:val="20"/>
      <w:szCs w:val="20"/>
      <w:lang w:val="nb-NO" w:eastAsia="nb-N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7F3BF7"/>
    <w:pPr>
      <w:tabs>
        <w:tab w:val="left" w:pos="510"/>
      </w:tabs>
      <w:spacing w:after="0" w:line="300" w:lineRule="exact"/>
    </w:pPr>
    <w:rPr>
      <w:rFonts w:ascii="Times New Roman" w:eastAsia="Times New Roman" w:hAnsi="Times New Roman" w:cs="Times New Roman"/>
      <w:b/>
      <w:bCs/>
      <w:sz w:val="20"/>
      <w:szCs w:val="20"/>
      <w:lang w:val="nb-NO" w:eastAsia="nb-N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
    <w:name w:val="Table Grid"/>
    <w:basedOn w:val="a4"/>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Grid 1"/>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7F3BF7"/>
    <w:pPr>
      <w:tabs>
        <w:tab w:val="left" w:pos="510"/>
      </w:tabs>
      <w:spacing w:after="0" w:line="300" w:lineRule="exact"/>
    </w:pPr>
    <w:rPr>
      <w:rFonts w:ascii="Times New Roman" w:eastAsia="Times New Roman" w:hAnsi="Times New Roman" w:cs="Times New Roman"/>
      <w:b/>
      <w:bCs/>
      <w:sz w:val="20"/>
      <w:szCs w:val="20"/>
      <w:lang w:val="nb-NO" w:eastAsia="nb-N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0">
    <w:name w:val="Table Theme"/>
    <w:basedOn w:val="a4"/>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ksoverskriftstorChar">
    <w:name w:val="boks overskrift stor Char"/>
    <w:basedOn w:val="a3"/>
    <w:link w:val="boksoverskriftstor"/>
    <w:rsid w:val="007F3BF7"/>
    <w:rPr>
      <w:rFonts w:ascii="Arial Narrow" w:eastAsia="Times New Roman" w:hAnsi="Arial Narrow" w:cs="Times New Roman"/>
      <w:noProof/>
      <w:sz w:val="32"/>
      <w:szCs w:val="24"/>
      <w:lang w:val="nb-NO" w:eastAsia="nb-NO"/>
    </w:rPr>
  </w:style>
  <w:style w:type="paragraph" w:customStyle="1" w:styleId="Figurtekst">
    <w:name w:val="Figurtekst"/>
    <w:link w:val="FigurtekstTegn"/>
    <w:qFormat/>
    <w:rsid w:val="007F3BF7"/>
    <w:pPr>
      <w:spacing w:before="200" w:line="240" w:lineRule="auto"/>
    </w:pPr>
    <w:rPr>
      <w:rFonts w:ascii="Georgia" w:eastAsia="Times New Roman" w:hAnsi="Georgia" w:cs="Times New Roman"/>
      <w:i/>
      <w:sz w:val="20"/>
      <w:szCs w:val="24"/>
      <w:lang w:val="nb-NO" w:eastAsia="nb-NO"/>
    </w:rPr>
  </w:style>
  <w:style w:type="paragraph" w:customStyle="1" w:styleId="Stilkolofon-smalspalteFet">
    <w:name w:val="Stil kolofon-smal spalte + Fet"/>
    <w:basedOn w:val="kolofon"/>
    <w:semiHidden/>
    <w:rsid w:val="007F3BF7"/>
    <w:rPr>
      <w:rFonts w:ascii="Times New Roman" w:hAnsi="Times New Roman"/>
      <w:b/>
      <w:bCs/>
    </w:rPr>
  </w:style>
  <w:style w:type="paragraph" w:customStyle="1" w:styleId="Stilkolofon-smalspalteFet1">
    <w:name w:val="Stil kolofon-smal spalte + Fet1"/>
    <w:basedOn w:val="kolofon"/>
    <w:link w:val="Stilkolofon-smalspalteFet1Tegn"/>
    <w:semiHidden/>
    <w:rsid w:val="007F3BF7"/>
    <w:rPr>
      <w:rFonts w:ascii="Arial Narrow" w:hAnsi="Arial Narrow"/>
      <w:b/>
      <w:bCs/>
    </w:rPr>
  </w:style>
  <w:style w:type="character" w:customStyle="1" w:styleId="kolofonChar">
    <w:name w:val="kolofon Char"/>
    <w:basedOn w:val="a3"/>
    <w:link w:val="kolofon"/>
    <w:rsid w:val="007F3BF7"/>
    <w:rPr>
      <w:rFonts w:ascii="Georgia" w:eastAsia="Times New Roman" w:hAnsi="Georgia" w:cs="Times New Roman"/>
      <w:noProof/>
      <w:sz w:val="20"/>
      <w:szCs w:val="21"/>
      <w:lang w:val="en-US" w:eastAsia="nb-NO"/>
    </w:rPr>
  </w:style>
  <w:style w:type="character" w:customStyle="1" w:styleId="Stilkolofon-smalspalteFet1Tegn">
    <w:name w:val="Stil kolofon-smal spalte + Fet1 Tegn"/>
    <w:basedOn w:val="kolofonChar"/>
    <w:link w:val="Stilkolofon-smalspalteFet1"/>
    <w:rsid w:val="007F3BF7"/>
    <w:rPr>
      <w:rFonts w:ascii="Arial Narrow" w:eastAsia="Times New Roman" w:hAnsi="Arial Narrow" w:cs="Times New Roman"/>
      <w:b/>
      <w:bCs/>
      <w:noProof/>
      <w:sz w:val="20"/>
      <w:szCs w:val="21"/>
      <w:lang w:val="en-US" w:eastAsia="nb-NO"/>
    </w:rPr>
  </w:style>
  <w:style w:type="paragraph" w:customStyle="1" w:styleId="Normalinnrykket">
    <w:name w:val="Normal innrykket"/>
    <w:basedOn w:val="a2"/>
    <w:rsid w:val="007F3BF7"/>
    <w:pPr>
      <w:tabs>
        <w:tab w:val="left" w:pos="510"/>
      </w:tabs>
      <w:spacing w:after="0" w:line="326" w:lineRule="atLeast"/>
      <w:ind w:firstLine="227"/>
    </w:pPr>
    <w:rPr>
      <w:rFonts w:ascii="Georgia" w:eastAsia="Times New Roman" w:hAnsi="Georgia" w:cs="Times New Roman"/>
      <w:szCs w:val="21"/>
      <w:lang w:val="nb-NO" w:eastAsia="nb-NO"/>
    </w:rPr>
  </w:style>
  <w:style w:type="character" w:customStyle="1" w:styleId="Figurteksttittelbold">
    <w:name w:val="Figur tekst tittel bold"/>
    <w:basedOn w:val="FigurtekstTegn"/>
    <w:uiPriority w:val="1"/>
    <w:rsid w:val="007F3BF7"/>
    <w:rPr>
      <w:rFonts w:ascii="Georgia" w:eastAsia="Times New Roman" w:hAnsi="Georgia" w:cs="Times New Roman"/>
      <w:b/>
      <w:i/>
      <w:sz w:val="20"/>
      <w:szCs w:val="24"/>
      <w:lang w:val="nb-NO" w:eastAsia="nb-NO"/>
    </w:rPr>
  </w:style>
  <w:style w:type="character" w:customStyle="1" w:styleId="boksbodytekstTegn">
    <w:name w:val="boks bodytekst Tegn"/>
    <w:basedOn w:val="TabelltekstTegn"/>
    <w:link w:val="boksbodytekst"/>
    <w:rsid w:val="007F3BF7"/>
    <w:rPr>
      <w:rFonts w:ascii="Arial Narrow" w:eastAsia="Times New Roman" w:hAnsi="Arial Narrow" w:cs="Times New Roman"/>
      <w:noProof/>
      <w:szCs w:val="24"/>
      <w:lang w:val="nb-NO" w:eastAsia="nb-NO"/>
    </w:rPr>
  </w:style>
  <w:style w:type="character" w:customStyle="1" w:styleId="TabelltekstTegn">
    <w:name w:val="Tabelltekst Tegn"/>
    <w:basedOn w:val="a3"/>
    <w:link w:val="Tabelltekst"/>
    <w:rsid w:val="007F3BF7"/>
    <w:rPr>
      <w:rFonts w:ascii="Arial Narrow" w:eastAsia="Times New Roman" w:hAnsi="Arial Narrow" w:cs="Times New Roman"/>
      <w:noProof/>
      <w:szCs w:val="24"/>
      <w:lang w:val="nb-NO" w:eastAsia="nb-NO"/>
    </w:rPr>
  </w:style>
  <w:style w:type="paragraph" w:customStyle="1" w:styleId="NormalBilledplassering">
    <w:name w:val="Normal Billedplassering"/>
    <w:basedOn w:val="a2"/>
    <w:qFormat/>
    <w:rsid w:val="007F3BF7"/>
    <w:pPr>
      <w:tabs>
        <w:tab w:val="left" w:pos="510"/>
      </w:tabs>
      <w:spacing w:after="0" w:line="240" w:lineRule="auto"/>
    </w:pPr>
    <w:rPr>
      <w:rFonts w:ascii="Georgia" w:eastAsia="Times New Roman" w:hAnsi="Georgia" w:cs="Times New Roman"/>
      <w:noProof/>
      <w:szCs w:val="21"/>
      <w:lang w:val="nb-NO" w:eastAsia="nb-NO"/>
    </w:rPr>
  </w:style>
  <w:style w:type="paragraph" w:customStyle="1" w:styleId="BasicParagraph">
    <w:name w:val="[Basic Paragraph]"/>
    <w:basedOn w:val="a2"/>
    <w:uiPriority w:val="99"/>
    <w:rsid w:val="007F3BF7"/>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nb-NO"/>
    </w:rPr>
  </w:style>
  <w:style w:type="paragraph" w:customStyle="1" w:styleId="KolofonBoldleft">
    <w:name w:val="Kolofon Bold left"/>
    <w:basedOn w:val="Kolofonnormalright"/>
    <w:qFormat/>
    <w:rsid w:val="007F3BF7"/>
    <w:pPr>
      <w:jc w:val="right"/>
    </w:pPr>
    <w:rPr>
      <w:b/>
      <w:bCs/>
      <w:szCs w:val="20"/>
    </w:rPr>
  </w:style>
  <w:style w:type="paragraph" w:customStyle="1" w:styleId="Tabelltekstbold">
    <w:name w:val="Tabelltekst bold"/>
    <w:basedOn w:val="Tabelltekst"/>
    <w:link w:val="TabelltekstboldChar"/>
    <w:qFormat/>
    <w:rsid w:val="007F3BF7"/>
    <w:rPr>
      <w:b/>
    </w:rPr>
  </w:style>
  <w:style w:type="table" w:customStyle="1" w:styleId="Tabelliste31">
    <w:name w:val="Tabelliste 31"/>
    <w:basedOn w:val="a4"/>
    <w:next w:val="32"/>
    <w:rsid w:val="007F3BF7"/>
    <w:pPr>
      <w:tabs>
        <w:tab w:val="left" w:pos="510"/>
      </w:tabs>
      <w:spacing w:after="0" w:line="240" w:lineRule="auto"/>
    </w:pPr>
    <w:rPr>
      <w:rFonts w:ascii="Arial Narrow" w:eastAsia="Times New Roman" w:hAnsi="Arial Narrow" w:cs="Times New Roman"/>
      <w:szCs w:val="20"/>
      <w:lang w:val="nb-NO" w:eastAsia="nb-NO"/>
    </w:rPr>
    <w:tblPr>
      <w:tblStyleRowBandSize w:val="1"/>
      <w:tblStyleColBandSize w:val="1"/>
      <w:tblInd w:w="0" w:type="dxa"/>
      <w:tblBorders>
        <w:top w:val="single" w:sz="4" w:space="0" w:color="000000"/>
        <w:bottom w:val="single" w:sz="4" w:space="0" w:color="000000"/>
        <w:insideH w:val="single" w:sz="4" w:space="0" w:color="000000"/>
      </w:tblBorders>
      <w:tblCellMar>
        <w:top w:w="68" w:type="dxa"/>
        <w:left w:w="57" w:type="dxa"/>
        <w:bottom w:w="68" w:type="dxa"/>
        <w:right w:w="57" w:type="dxa"/>
      </w:tblCellMar>
    </w:tblPr>
    <w:tcPr>
      <w:shd w:val="clear" w:color="auto" w:fill="auto"/>
    </w:tcPr>
    <w:tblStylePr w:type="firstRow">
      <w:rPr>
        <w:rFonts w:ascii="System" w:hAnsi="System"/>
        <w:b/>
        <w:sz w:val="22"/>
      </w:rPr>
      <w:tblPr/>
      <w:tcPr>
        <w:shd w:val="clear" w:color="auto" w:fill="EEEDEB"/>
      </w:tcPr>
    </w:tblStylePr>
    <w:tblStylePr w:type="lastRow">
      <w:tblPr/>
      <w:tcPr>
        <w:tcBorders>
          <w:top w:val="single" w:sz="4" w:space="0" w:color="auto"/>
          <w:bottom w:val="single" w:sz="4" w:space="0" w:color="auto"/>
          <w:tl2br w:val="none" w:sz="0" w:space="0" w:color="auto"/>
          <w:tr2bl w:val="none" w:sz="0" w:space="0" w:color="auto"/>
        </w:tcBorders>
        <w:shd w:val="clear" w:color="auto" w:fill="auto"/>
      </w:tcPr>
    </w:tblStylePr>
    <w:tblStylePr w:type="firstCol">
      <w:rPr>
        <w:rFonts w:ascii="System" w:hAnsi="System"/>
        <w:b/>
      </w:rPr>
    </w:tblStylePr>
    <w:tblStylePr w:type="swCell">
      <w:tblPr/>
      <w:tcPr>
        <w:tcBorders>
          <w:tl2br w:val="none" w:sz="0" w:space="0" w:color="auto"/>
          <w:tr2bl w:val="none" w:sz="0" w:space="0" w:color="auto"/>
        </w:tcBorders>
      </w:tcPr>
    </w:tblStylePr>
  </w:style>
  <w:style w:type="character" w:customStyle="1" w:styleId="FigurtekstTegn">
    <w:name w:val="Figurtekst Tegn"/>
    <w:basedOn w:val="a3"/>
    <w:link w:val="Figurtekst"/>
    <w:rsid w:val="007F3BF7"/>
    <w:rPr>
      <w:rFonts w:ascii="Georgia" w:eastAsia="Times New Roman" w:hAnsi="Georgia" w:cs="Times New Roman"/>
      <w:i/>
      <w:sz w:val="20"/>
      <w:szCs w:val="24"/>
      <w:lang w:val="nb-NO" w:eastAsia="nb-NO"/>
    </w:rPr>
  </w:style>
  <w:style w:type="paragraph" w:customStyle="1" w:styleId="tabelltekstkursiv">
    <w:name w:val="tabelltekst kursiv"/>
    <w:basedOn w:val="Tabelltekst"/>
    <w:qFormat/>
    <w:rsid w:val="007F3BF7"/>
    <w:rPr>
      <w:i/>
    </w:rPr>
  </w:style>
  <w:style w:type="paragraph" w:styleId="afff1">
    <w:name w:val="Normal (Web)"/>
    <w:basedOn w:val="a2"/>
    <w:uiPriority w:val="99"/>
    <w:rsid w:val="007F3BF7"/>
    <w:pPr>
      <w:tabs>
        <w:tab w:val="left" w:pos="510"/>
      </w:tabs>
      <w:spacing w:after="0" w:line="326" w:lineRule="atLeast"/>
    </w:pPr>
    <w:rPr>
      <w:rFonts w:ascii="Times New Roman" w:eastAsia="Times New Roman" w:hAnsi="Times New Roman" w:cs="Times New Roman"/>
      <w:sz w:val="24"/>
      <w:szCs w:val="21"/>
      <w:lang w:val="nb-NO" w:eastAsia="nb-NO"/>
    </w:rPr>
  </w:style>
  <w:style w:type="paragraph" w:customStyle="1" w:styleId="IntroHeadingCnoTOC">
    <w:name w:val="Intro Heading C (no TOC)"/>
    <w:basedOn w:val="a2"/>
    <w:rsid w:val="007F3BF7"/>
    <w:pPr>
      <w:tabs>
        <w:tab w:val="left" w:pos="510"/>
      </w:tabs>
      <w:spacing w:after="0" w:line="240" w:lineRule="auto"/>
    </w:pPr>
    <w:rPr>
      <w:rFonts w:ascii="Georgia" w:eastAsia="Times New Roman" w:hAnsi="Georgia" w:cs="Times New Roman"/>
      <w:b/>
      <w:noProof/>
      <w:sz w:val="36"/>
      <w:szCs w:val="21"/>
      <w:lang w:val="nb-NO" w:eastAsia="nb-NO"/>
    </w:rPr>
  </w:style>
  <w:style w:type="table" w:styleId="-5">
    <w:name w:val="Colorful Grid Accent 5"/>
    <w:basedOn w:val="a4"/>
    <w:uiPriority w:val="64"/>
    <w:rsid w:val="007F3BF7"/>
    <w:pPr>
      <w:spacing w:after="0" w:line="240" w:lineRule="auto"/>
    </w:pPr>
    <w:rPr>
      <w:rFonts w:ascii="Times New Roman" w:eastAsia="Times New Roman" w:hAnsi="Times New Roman" w:cs="Times New Roman"/>
      <w:sz w:val="24"/>
      <w:szCs w:val="24"/>
      <w:lang w:val="nb-NO" w:eastAsia="nb-N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tyleOutlinenumberedCourierNewBoldLeft0cmHanging0">
    <w:name w:val="Style Outline numbered Courier New Bold Left:  0 cm Hanging:  0..."/>
    <w:basedOn w:val="a5"/>
    <w:rsid w:val="007F3BF7"/>
    <w:pPr>
      <w:numPr>
        <w:numId w:val="12"/>
      </w:numPr>
    </w:pPr>
  </w:style>
  <w:style w:type="character" w:customStyle="1" w:styleId="KolofonnormalrightChar">
    <w:name w:val="Kolofon normal right Char"/>
    <w:basedOn w:val="a3"/>
    <w:link w:val="Kolofonnormalright"/>
    <w:rsid w:val="007F3BF7"/>
    <w:rPr>
      <w:rFonts w:ascii="Georgia" w:eastAsia="Times New Roman" w:hAnsi="Georgia" w:cs="Times New Roman"/>
      <w:noProof/>
      <w:sz w:val="20"/>
      <w:szCs w:val="21"/>
      <w:lang w:val="en-US" w:eastAsia="nb-NO"/>
    </w:rPr>
  </w:style>
  <w:style w:type="numbering" w:customStyle="1" w:styleId="StyleOutlinenumberedCourierNewBoldLeft0cmHanging01">
    <w:name w:val="Style Outline numbered Courier New Bold Left:  0 cm Hanging:  0...1"/>
    <w:basedOn w:val="a5"/>
    <w:rsid w:val="007F3BF7"/>
    <w:pPr>
      <w:numPr>
        <w:numId w:val="13"/>
      </w:numPr>
    </w:pPr>
  </w:style>
  <w:style w:type="paragraph" w:customStyle="1" w:styleId="Tabletextbullet">
    <w:name w:val="Table text bullet"/>
    <w:basedOn w:val="a2"/>
    <w:qFormat/>
    <w:rsid w:val="007F3BF7"/>
    <w:pPr>
      <w:numPr>
        <w:numId w:val="16"/>
      </w:numPr>
      <w:tabs>
        <w:tab w:val="left" w:pos="510"/>
      </w:tabs>
      <w:spacing w:after="0" w:line="240" w:lineRule="auto"/>
    </w:pPr>
    <w:rPr>
      <w:rFonts w:ascii="Arial Narrow" w:eastAsia="Times New Roman" w:hAnsi="Arial Narrow" w:cs="Times New Roman"/>
      <w:szCs w:val="21"/>
      <w:lang w:val="nb-NO" w:eastAsia="nb-NO"/>
    </w:rPr>
  </w:style>
  <w:style w:type="character" w:customStyle="1" w:styleId="TabelltekstboldChar">
    <w:name w:val="Tabelltekst bold Char"/>
    <w:basedOn w:val="TabelltekstTegn"/>
    <w:link w:val="Tabelltekstbold"/>
    <w:rsid w:val="007F3BF7"/>
    <w:rPr>
      <w:rFonts w:ascii="Arial Narrow" w:eastAsia="Times New Roman" w:hAnsi="Arial Narrow" w:cs="Times New Roman"/>
      <w:b/>
      <w:noProof/>
      <w:szCs w:val="24"/>
      <w:lang w:val="nb-NO" w:eastAsia="nb-NO"/>
    </w:rPr>
  </w:style>
  <w:style w:type="numbering" w:customStyle="1" w:styleId="StyleBulletedCourierNewBoldLeft05cmHanging204cm">
    <w:name w:val="Style Bulleted Courier New Bold Left:  05 cm Hanging:  204 cm"/>
    <w:basedOn w:val="a5"/>
    <w:rsid w:val="007F3BF7"/>
    <w:pPr>
      <w:numPr>
        <w:numId w:val="14"/>
      </w:numPr>
    </w:pPr>
  </w:style>
  <w:style w:type="character" w:customStyle="1" w:styleId="instruksjonstekst2">
    <w:name w:val="instruksjonstekst2"/>
    <w:basedOn w:val="Stilkolofon-smalspalteFet1Tegn"/>
    <w:qFormat/>
    <w:rsid w:val="007F3BF7"/>
    <w:rPr>
      <w:rFonts w:ascii="Arial Narrow" w:eastAsia="Times New Roman" w:hAnsi="Arial Narrow" w:cs="Times New Roman"/>
      <w:b w:val="0"/>
      <w:bCs/>
      <w:noProof/>
      <w:sz w:val="16"/>
      <w:szCs w:val="21"/>
      <w:bdr w:val="none" w:sz="0" w:space="0" w:color="auto"/>
      <w:shd w:val="clear" w:color="auto" w:fill="FFFF00"/>
      <w:lang w:val="nb-NO" w:eastAsia="nb-NO"/>
    </w:rPr>
  </w:style>
  <w:style w:type="paragraph" w:customStyle="1" w:styleId="Lysskyggelegging-uthevingsfarge21">
    <w:name w:val="Lys skyggelegging - uthevingsfarge 21"/>
    <w:basedOn w:val="a2"/>
    <w:next w:val="a2"/>
    <w:link w:val="Lysskyggelegging-uthevingsfarge2Tegn"/>
    <w:rsid w:val="007F3BF7"/>
    <w:pPr>
      <w:framePr w:wrap="around" w:vAnchor="text" w:hAnchor="text" w:y="1"/>
      <w:pBdr>
        <w:top w:val="single" w:sz="4" w:space="10" w:color="C4BC96"/>
        <w:left w:val="single" w:sz="4" w:space="10" w:color="C4BC96"/>
        <w:bottom w:val="single" w:sz="4" w:space="12" w:color="C4BC96"/>
        <w:right w:val="single" w:sz="4" w:space="10" w:color="C4BC96"/>
      </w:pBdr>
      <w:shd w:val="clear" w:color="auto" w:fill="EEECE1"/>
      <w:tabs>
        <w:tab w:val="left" w:pos="510"/>
      </w:tabs>
      <w:spacing w:after="0" w:line="280" w:lineRule="exact"/>
      <w:ind w:left="200" w:right="200"/>
      <w:jc w:val="both"/>
    </w:pPr>
    <w:rPr>
      <w:rFonts w:ascii="Georgia" w:eastAsia="Times New Roman" w:hAnsi="Georgia" w:cs="Times New Roman"/>
      <w:bCs/>
      <w:iCs/>
      <w:sz w:val="20"/>
      <w:szCs w:val="21"/>
      <w:lang w:val="nb-NO" w:eastAsia="nb-NO"/>
    </w:rPr>
  </w:style>
  <w:style w:type="character" w:customStyle="1" w:styleId="Lysskyggelegging-uthevingsfarge2Tegn">
    <w:name w:val="Lys skyggelegging - uthevingsfarge 2 Tegn"/>
    <w:basedOn w:val="a3"/>
    <w:link w:val="Lysskyggelegging-uthevingsfarge21"/>
    <w:rsid w:val="007F3BF7"/>
    <w:rPr>
      <w:rFonts w:ascii="Georgia" w:eastAsia="Times New Roman" w:hAnsi="Georgia" w:cs="Times New Roman"/>
      <w:bCs/>
      <w:iCs/>
      <w:sz w:val="20"/>
      <w:szCs w:val="21"/>
      <w:shd w:val="clear" w:color="auto" w:fill="EEECE1"/>
      <w:lang w:val="nb-NO" w:eastAsia="nb-NO"/>
    </w:rPr>
  </w:style>
  <w:style w:type="paragraph" w:customStyle="1" w:styleId="Fargerikliste-uthevingsfarge11">
    <w:name w:val="Fargerik liste - uthevingsfarge 11"/>
    <w:basedOn w:val="a1"/>
    <w:rsid w:val="007F3BF7"/>
    <w:pPr>
      <w:numPr>
        <w:numId w:val="0"/>
      </w:numPr>
    </w:pPr>
    <w:rPr>
      <w:lang w:val="en-US"/>
    </w:rPr>
  </w:style>
  <w:style w:type="paragraph" w:customStyle="1" w:styleId="Ingenmellomrom1">
    <w:name w:val="Ingen mellomrom1"/>
    <w:rsid w:val="007F3BF7"/>
    <w:pPr>
      <w:tabs>
        <w:tab w:val="left" w:pos="510"/>
      </w:tabs>
      <w:spacing w:after="0" w:line="240" w:lineRule="auto"/>
    </w:pPr>
    <w:rPr>
      <w:rFonts w:ascii="Georgia" w:eastAsia="Times New Roman" w:hAnsi="Georgia" w:cs="Times New Roman"/>
      <w:szCs w:val="21"/>
      <w:lang w:val="nb-NO" w:eastAsia="nb-NO"/>
    </w:rPr>
  </w:style>
  <w:style w:type="paragraph" w:styleId="afff2">
    <w:name w:val="Title"/>
    <w:basedOn w:val="a2"/>
    <w:next w:val="a2"/>
    <w:link w:val="Charf4"/>
    <w:uiPriority w:val="10"/>
    <w:qFormat/>
    <w:rsid w:val="007F3BF7"/>
    <w:pPr>
      <w:pBdr>
        <w:bottom w:val="single" w:sz="8" w:space="4" w:color="4F81BD" w:themeColor="accent1"/>
      </w:pBdr>
      <w:tabs>
        <w:tab w:val="left" w:pos="510"/>
      </w:tabs>
      <w:spacing w:after="300" w:line="240" w:lineRule="auto"/>
      <w:contextualSpacing/>
    </w:pPr>
    <w:rPr>
      <w:rFonts w:ascii="Arial Narrow" w:eastAsiaTheme="majorEastAsia" w:hAnsi="Arial Narrow" w:cstheme="majorBidi"/>
      <w:color w:val="17365D" w:themeColor="text2" w:themeShade="BF"/>
      <w:spacing w:val="5"/>
      <w:kern w:val="28"/>
      <w:sz w:val="52"/>
      <w:szCs w:val="52"/>
      <w:lang w:val="nb-NO" w:eastAsia="nb-NO"/>
    </w:rPr>
  </w:style>
  <w:style w:type="character" w:customStyle="1" w:styleId="Charf4">
    <w:name w:val="标题 Char"/>
    <w:basedOn w:val="a3"/>
    <w:link w:val="afff2"/>
    <w:uiPriority w:val="10"/>
    <w:rsid w:val="007F3BF7"/>
    <w:rPr>
      <w:rFonts w:ascii="Arial Narrow" w:eastAsiaTheme="majorEastAsia" w:hAnsi="Arial Narrow" w:cstheme="majorBidi"/>
      <w:color w:val="17365D" w:themeColor="text2" w:themeShade="BF"/>
      <w:spacing w:val="5"/>
      <w:kern w:val="28"/>
      <w:sz w:val="52"/>
      <w:szCs w:val="52"/>
      <w:lang w:val="nb-NO" w:eastAsia="nb-NO"/>
    </w:rPr>
  </w:style>
  <w:style w:type="table" w:customStyle="1" w:styleId="TableKunnskapssenteret">
    <w:name w:val="Table Kunnskapssenteret"/>
    <w:basedOn w:val="a4"/>
    <w:uiPriority w:val="99"/>
    <w:qFormat/>
    <w:rsid w:val="007F3BF7"/>
    <w:pPr>
      <w:spacing w:after="0" w:line="240" w:lineRule="auto"/>
    </w:pPr>
    <w:rPr>
      <w:rFonts w:ascii="Arial Narrow" w:eastAsia="Times New Roman" w:hAnsi="Arial Narrow" w:cs="Times New Roman"/>
      <w:szCs w:val="24"/>
      <w:lang w:val="nb-NO" w:eastAsia="nb-NO"/>
    </w:rPr>
    <w:tblPr>
      <w:tblInd w:w="0" w:type="dxa"/>
      <w:tblBorders>
        <w:top w:val="single" w:sz="4" w:space="0" w:color="000000"/>
        <w:bottom w:val="single" w:sz="4" w:space="0" w:color="000000"/>
        <w:insideH w:val="single" w:sz="4" w:space="0" w:color="000000"/>
      </w:tblBorders>
      <w:tblCellMar>
        <w:top w:w="68" w:type="dxa"/>
        <w:left w:w="68" w:type="dxa"/>
        <w:bottom w:w="68" w:type="dxa"/>
        <w:right w:w="68" w:type="dxa"/>
      </w:tblCellMar>
    </w:tblPr>
    <w:tcPr>
      <w:shd w:val="clear" w:color="auto" w:fill="FFFFFF"/>
    </w:tcPr>
    <w:tblStylePr w:type="firstRow">
      <w:pPr>
        <w:jc w:val="left"/>
      </w:pPr>
      <w:rPr>
        <w:rFonts w:ascii="Helv" w:hAnsi="Helv"/>
        <w:b/>
        <w:sz w:val="22"/>
      </w:rPr>
      <w:tblPr/>
      <w:tcPr>
        <w:shd w:val="clear" w:color="auto" w:fill="EEECE1"/>
      </w:tcPr>
    </w:tblStylePr>
  </w:style>
  <w:style w:type="table" w:styleId="2-3">
    <w:name w:val="Medium Grid 2 Accent 3"/>
    <w:basedOn w:val="a4"/>
    <w:rsid w:val="007F3BF7"/>
    <w:pPr>
      <w:spacing w:after="0" w:line="240" w:lineRule="auto"/>
    </w:pPr>
    <w:rPr>
      <w:rFonts w:ascii="Times New Roman" w:eastAsia="Times New Roman" w:hAnsi="Times New Roman" w:cs="Times New Roman"/>
      <w:color w:val="000000"/>
      <w:sz w:val="24"/>
      <w:szCs w:val="24"/>
      <w:lang w:val="nb-NO" w:eastAsia="nb-NO"/>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customStyle="1" w:styleId="Plassholdertekst1">
    <w:name w:val="Plassholdertekst1"/>
    <w:basedOn w:val="a3"/>
    <w:rsid w:val="007F3BF7"/>
    <w:rPr>
      <w:color w:val="808080"/>
    </w:rPr>
  </w:style>
  <w:style w:type="table" w:styleId="-3">
    <w:name w:val="Dark List Accent 3"/>
    <w:basedOn w:val="a4"/>
    <w:uiPriority w:val="61"/>
    <w:rsid w:val="007F3BF7"/>
    <w:pPr>
      <w:spacing w:after="0" w:line="240" w:lineRule="auto"/>
    </w:pPr>
    <w:rPr>
      <w:rFonts w:ascii="Cambria" w:eastAsia="Times New Roman" w:hAnsi="Cambria" w:cs="Times New Roman"/>
      <w:lang w:val="nb-NO" w:eastAsia="nb-NO"/>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f3">
    <w:name w:val="caption"/>
    <w:basedOn w:val="a2"/>
    <w:next w:val="a2"/>
    <w:unhideWhenUsed/>
    <w:qFormat/>
    <w:rsid w:val="007F3BF7"/>
    <w:pPr>
      <w:tabs>
        <w:tab w:val="left" w:pos="510"/>
      </w:tabs>
      <w:spacing w:line="240" w:lineRule="auto"/>
    </w:pPr>
    <w:rPr>
      <w:rFonts w:ascii="Georgia" w:eastAsia="Times New Roman" w:hAnsi="Georgia" w:cs="Times New Roman"/>
      <w:b/>
      <w:bCs/>
      <w:color w:val="4F81BD" w:themeColor="accent1"/>
      <w:sz w:val="18"/>
      <w:szCs w:val="18"/>
      <w:lang w:val="nb-NO" w:eastAsia="nb-NO"/>
    </w:rPr>
  </w:style>
  <w:style w:type="character" w:styleId="afff4">
    <w:name w:val="Strong"/>
    <w:uiPriority w:val="22"/>
    <w:qFormat/>
    <w:rsid w:val="007F3BF7"/>
    <w:rPr>
      <w:b/>
      <w:bCs/>
    </w:rPr>
  </w:style>
  <w:style w:type="character" w:styleId="afff5">
    <w:name w:val="Emphasis"/>
    <w:uiPriority w:val="20"/>
    <w:qFormat/>
    <w:rsid w:val="007F3BF7"/>
    <w:rPr>
      <w:i/>
      <w:iCs/>
    </w:rPr>
  </w:style>
  <w:style w:type="paragraph" w:customStyle="1" w:styleId="Fargeriktrutenett-uthevingsfarge11">
    <w:name w:val="Fargerikt rutenett - uthevingsfarge 11"/>
    <w:basedOn w:val="a2"/>
    <w:next w:val="a2"/>
    <w:link w:val="Fargeriktrutenett-uthevingsfarge1Tegn"/>
    <w:rsid w:val="007F3BF7"/>
    <w:pPr>
      <w:tabs>
        <w:tab w:val="left" w:pos="510"/>
      </w:tabs>
      <w:spacing w:after="0" w:line="326" w:lineRule="atLeast"/>
    </w:pPr>
    <w:rPr>
      <w:rFonts w:ascii="Georgia" w:eastAsia="Times New Roman" w:hAnsi="Georgia" w:cs="Times New Roman"/>
      <w:i/>
      <w:iCs/>
      <w:color w:val="000000"/>
      <w:szCs w:val="21"/>
      <w:lang w:val="nb-NO" w:eastAsia="nb-NO"/>
    </w:rPr>
  </w:style>
  <w:style w:type="character" w:customStyle="1" w:styleId="Fargeriktrutenett-uthevingsfarge1Tegn">
    <w:name w:val="Fargerikt rutenett - uthevingsfarge 1 Tegn"/>
    <w:basedOn w:val="a3"/>
    <w:link w:val="Fargeriktrutenett-uthevingsfarge11"/>
    <w:rsid w:val="007F3BF7"/>
    <w:rPr>
      <w:rFonts w:ascii="Georgia" w:eastAsia="Times New Roman" w:hAnsi="Georgia" w:cs="Times New Roman"/>
      <w:i/>
      <w:iCs/>
      <w:color w:val="000000"/>
      <w:szCs w:val="21"/>
      <w:lang w:val="nb-NO" w:eastAsia="nb-NO"/>
    </w:rPr>
  </w:style>
  <w:style w:type="paragraph" w:customStyle="1" w:styleId="Overskriftforinnholdsfortegnelse1">
    <w:name w:val="Overskrift for innholdsfortegnelse1"/>
    <w:basedOn w:val="1"/>
    <w:next w:val="a2"/>
    <w:uiPriority w:val="39"/>
    <w:unhideWhenUsed/>
    <w:rsid w:val="007F3BF7"/>
    <w:pPr>
      <w:tabs>
        <w:tab w:val="clear" w:pos="340"/>
        <w:tab w:val="left" w:pos="510"/>
      </w:tabs>
      <w:spacing w:line="326" w:lineRule="atLeast"/>
      <w:ind w:left="0" w:firstLine="0"/>
      <w:outlineLvl w:val="9"/>
    </w:pPr>
    <w:rPr>
      <w:rFonts w:ascii="Calibri" w:eastAsia="Times New Roman" w:hAnsi="Calibri" w:cs="Times New Roman"/>
      <w:color w:val="365F91"/>
      <w:lang w:val="nb-NO" w:eastAsia="nb-NO"/>
    </w:rPr>
  </w:style>
  <w:style w:type="paragraph" w:customStyle="1" w:styleId="StilVenstre0cm">
    <w:name w:val="Stil Venstre:  0 cm"/>
    <w:basedOn w:val="a2"/>
    <w:rsid w:val="007F3BF7"/>
    <w:pPr>
      <w:tabs>
        <w:tab w:val="left" w:pos="510"/>
      </w:tabs>
      <w:spacing w:after="0" w:line="326" w:lineRule="atLeast"/>
      <w:ind w:left="2"/>
    </w:pPr>
    <w:rPr>
      <w:rFonts w:ascii="Georgia" w:eastAsia="Times New Roman" w:hAnsi="Georgia" w:cs="Times New Roman"/>
      <w:szCs w:val="20"/>
      <w:lang w:val="nb-NO" w:eastAsia="nb-NO"/>
    </w:rPr>
  </w:style>
  <w:style w:type="paragraph" w:customStyle="1" w:styleId="Tabletext2bullet">
    <w:name w:val="Table text 2 bullet"/>
    <w:basedOn w:val="a2"/>
    <w:rsid w:val="007F3BF7"/>
    <w:pPr>
      <w:numPr>
        <w:numId w:val="15"/>
      </w:numPr>
      <w:tabs>
        <w:tab w:val="left" w:pos="510"/>
      </w:tabs>
      <w:spacing w:after="0" w:line="326" w:lineRule="atLeast"/>
    </w:pPr>
    <w:rPr>
      <w:rFonts w:ascii="Georgia" w:eastAsia="Times New Roman" w:hAnsi="Georgia" w:cs="Times New Roman"/>
      <w:szCs w:val="21"/>
      <w:lang w:val="nb-NO" w:eastAsia="nb-NO"/>
    </w:rPr>
  </w:style>
  <w:style w:type="paragraph" w:customStyle="1" w:styleId="Tabletextsinglespace">
    <w:name w:val="Table text (single space)"/>
    <w:rsid w:val="007F3BF7"/>
    <w:pPr>
      <w:tabs>
        <w:tab w:val="left" w:pos="510"/>
      </w:tabs>
      <w:spacing w:after="0" w:line="240" w:lineRule="auto"/>
    </w:pPr>
    <w:rPr>
      <w:rFonts w:ascii="Arial Narrow" w:eastAsia="Times New Roman" w:hAnsi="Arial Narrow" w:cs="Times New Roman"/>
      <w:noProof/>
      <w:szCs w:val="24"/>
      <w:lang w:val="nb-NO" w:eastAsia="nb-NO"/>
    </w:rPr>
  </w:style>
  <w:style w:type="paragraph" w:customStyle="1" w:styleId="Normalindented">
    <w:name w:val="Normal indented"/>
    <w:basedOn w:val="a2"/>
    <w:rsid w:val="007F3BF7"/>
    <w:pPr>
      <w:tabs>
        <w:tab w:val="left" w:pos="510"/>
      </w:tabs>
      <w:spacing w:after="0" w:line="326" w:lineRule="atLeast"/>
      <w:ind w:firstLine="227"/>
    </w:pPr>
    <w:rPr>
      <w:rFonts w:ascii="Georgia" w:eastAsia="Times New Roman" w:hAnsi="Georgia" w:cs="Times New Roman"/>
      <w:szCs w:val="21"/>
      <w:lang w:val="nb-NO" w:eastAsia="nb-NO"/>
    </w:rPr>
  </w:style>
  <w:style w:type="character" w:customStyle="1" w:styleId="NoSpacingChar1">
    <w:name w:val="No Spacing Char1"/>
    <w:basedOn w:val="a3"/>
    <w:rsid w:val="007F3BF7"/>
    <w:rPr>
      <w:rFonts w:ascii="Georgia" w:hAnsi="Georgia"/>
      <w:sz w:val="22"/>
      <w:szCs w:val="21"/>
    </w:rPr>
  </w:style>
  <w:style w:type="paragraph" w:styleId="afff6">
    <w:name w:val="List Paragraph"/>
    <w:basedOn w:val="a1"/>
    <w:uiPriority w:val="34"/>
    <w:qFormat/>
    <w:rsid w:val="007F3BF7"/>
    <w:pPr>
      <w:numPr>
        <w:numId w:val="0"/>
      </w:numPr>
    </w:pPr>
    <w:rPr>
      <w:lang w:val="en-US"/>
    </w:rPr>
  </w:style>
  <w:style w:type="paragraph" w:styleId="afff7">
    <w:name w:val="Quote"/>
    <w:basedOn w:val="a2"/>
    <w:next w:val="a2"/>
    <w:link w:val="Charf5"/>
    <w:qFormat/>
    <w:rsid w:val="007F3BF7"/>
    <w:pPr>
      <w:tabs>
        <w:tab w:val="left" w:pos="510"/>
      </w:tabs>
      <w:spacing w:after="0" w:line="326" w:lineRule="atLeast"/>
    </w:pPr>
    <w:rPr>
      <w:rFonts w:ascii="Georgia" w:eastAsia="Times New Roman" w:hAnsi="Georgia" w:cs="Times New Roman"/>
      <w:i/>
      <w:iCs/>
      <w:color w:val="000000" w:themeColor="text1"/>
      <w:szCs w:val="21"/>
      <w:lang w:val="nb-NO" w:eastAsia="nb-NO"/>
    </w:rPr>
  </w:style>
  <w:style w:type="character" w:customStyle="1" w:styleId="Charf5">
    <w:name w:val="引用 Char"/>
    <w:basedOn w:val="a3"/>
    <w:link w:val="afff7"/>
    <w:rsid w:val="007F3BF7"/>
    <w:rPr>
      <w:rFonts w:ascii="Georgia" w:eastAsia="Times New Roman" w:hAnsi="Georgia" w:cs="Times New Roman"/>
      <w:i/>
      <w:iCs/>
      <w:color w:val="000000" w:themeColor="text1"/>
      <w:szCs w:val="21"/>
      <w:lang w:val="nb-NO" w:eastAsia="nb-NO"/>
    </w:rPr>
  </w:style>
  <w:style w:type="paragraph" w:styleId="afff8">
    <w:name w:val="Intense Quote"/>
    <w:basedOn w:val="a2"/>
    <w:next w:val="a2"/>
    <w:link w:val="Charf6"/>
    <w:qFormat/>
    <w:rsid w:val="007F3BF7"/>
    <w:pPr>
      <w:framePr w:wrap="around" w:vAnchor="text" w:hAnchor="text" w:y="1"/>
      <w:pBdr>
        <w:top w:val="single" w:sz="4" w:space="10" w:color="C4BC96" w:themeColor="background2" w:themeShade="BF"/>
        <w:left w:val="single" w:sz="4" w:space="10" w:color="C4BC96" w:themeColor="background2" w:themeShade="BF"/>
        <w:bottom w:val="single" w:sz="4" w:space="12" w:color="C4BC96" w:themeColor="background2" w:themeShade="BF"/>
        <w:right w:val="single" w:sz="4" w:space="10" w:color="C4BC96" w:themeColor="background2" w:themeShade="BF"/>
      </w:pBdr>
      <w:shd w:val="clear" w:color="auto" w:fill="EEECE1" w:themeFill="background2"/>
      <w:tabs>
        <w:tab w:val="left" w:pos="510"/>
      </w:tabs>
      <w:spacing w:after="0" w:line="280" w:lineRule="exact"/>
      <w:ind w:left="200" w:right="200"/>
      <w:jc w:val="both"/>
    </w:pPr>
    <w:rPr>
      <w:rFonts w:ascii="Georgia" w:eastAsia="Times New Roman" w:hAnsi="Georgia" w:cs="Times New Roman"/>
      <w:bCs/>
      <w:iCs/>
      <w:sz w:val="20"/>
      <w:szCs w:val="21"/>
      <w:lang w:val="nb-NO" w:eastAsia="nb-NO"/>
    </w:rPr>
  </w:style>
  <w:style w:type="character" w:customStyle="1" w:styleId="Charf6">
    <w:name w:val="明显引用 Char"/>
    <w:basedOn w:val="a3"/>
    <w:link w:val="afff8"/>
    <w:rsid w:val="007F3BF7"/>
    <w:rPr>
      <w:rFonts w:ascii="Georgia" w:eastAsia="Times New Roman" w:hAnsi="Georgia" w:cs="Times New Roman"/>
      <w:bCs/>
      <w:iCs/>
      <w:sz w:val="20"/>
      <w:szCs w:val="21"/>
      <w:shd w:val="clear" w:color="auto" w:fill="EEECE1" w:themeFill="background2"/>
      <w:lang w:val="nb-NO" w:eastAsia="nb-NO"/>
    </w:rPr>
  </w:style>
  <w:style w:type="paragraph" w:styleId="TOC">
    <w:name w:val="TOC Heading"/>
    <w:basedOn w:val="1"/>
    <w:next w:val="a2"/>
    <w:uiPriority w:val="39"/>
    <w:semiHidden/>
    <w:unhideWhenUsed/>
    <w:qFormat/>
    <w:rsid w:val="007F3BF7"/>
    <w:pPr>
      <w:tabs>
        <w:tab w:val="clear" w:pos="340"/>
        <w:tab w:val="left" w:pos="510"/>
      </w:tabs>
      <w:spacing w:line="326" w:lineRule="atLeast"/>
      <w:ind w:left="0" w:firstLine="0"/>
      <w:outlineLvl w:val="9"/>
    </w:pPr>
    <w:rPr>
      <w:lang w:val="nb-NO" w:eastAsia="nb-NO"/>
    </w:rPr>
  </w:style>
  <w:style w:type="paragraph" w:customStyle="1" w:styleId="Kunnskapssenteret">
    <w:name w:val="Kunnskapssenteret"/>
    <w:basedOn w:val="IntroHeadingCnoTOC"/>
    <w:link w:val="KunnskapssenteretChar"/>
    <w:qFormat/>
    <w:rsid w:val="007F3BF7"/>
    <w:rPr>
      <w:lang w:val="en-GB"/>
    </w:rPr>
  </w:style>
  <w:style w:type="character" w:customStyle="1" w:styleId="KunnskapssenteretChar">
    <w:name w:val="Kunnskapssenteret Char"/>
    <w:basedOn w:val="a3"/>
    <w:link w:val="Kunnskapssenteret"/>
    <w:rsid w:val="007F3BF7"/>
    <w:rPr>
      <w:rFonts w:ascii="Georgia" w:eastAsia="Times New Roman" w:hAnsi="Georgia" w:cs="Times New Roman"/>
      <w:b/>
      <w:noProof/>
      <w:sz w:val="36"/>
      <w:szCs w:val="21"/>
      <w:lang w:eastAsia="nb-NO"/>
    </w:rPr>
  </w:style>
  <w:style w:type="numbering" w:customStyle="1" w:styleId="StyleOutlinenumberedCourierNewBoldLeft0cmHanging02">
    <w:name w:val="Style Outline numbered Courier New Bold Left:  0 cm Hanging:  0...2"/>
    <w:basedOn w:val="a5"/>
    <w:rsid w:val="007F3BF7"/>
  </w:style>
  <w:style w:type="paragraph" w:customStyle="1" w:styleId="StilColophoneVenstre0cm">
    <w:name w:val="Stil Colophone + Venstre:  0 cm"/>
    <w:basedOn w:val="a2"/>
    <w:rsid w:val="007F3BF7"/>
    <w:pPr>
      <w:spacing w:after="0" w:line="326" w:lineRule="atLeast"/>
      <w:ind w:left="2"/>
    </w:pPr>
    <w:rPr>
      <w:rFonts w:ascii="Georgia" w:eastAsia="Times New Roman" w:hAnsi="Georgia" w:cs="Times New Roman"/>
      <w:noProof/>
      <w:sz w:val="20"/>
      <w:szCs w:val="20"/>
      <w:lang w:val="en-US" w:eastAsia="nb-NO"/>
    </w:rPr>
  </w:style>
  <w:style w:type="table" w:customStyle="1" w:styleId="LightList-Accent11">
    <w:name w:val="Light List - Accent 11"/>
    <w:basedOn w:val="a4"/>
    <w:rsid w:val="007F3BF7"/>
    <w:pPr>
      <w:spacing w:after="0" w:line="240" w:lineRule="auto"/>
    </w:pPr>
    <w:rPr>
      <w:rFonts w:ascii="Times New Roman" w:eastAsia="Times New Roman" w:hAnsi="Times New Roman" w:cs="Times New Roman"/>
      <w:sz w:val="20"/>
      <w:szCs w:val="20"/>
      <w:lang w:val="nb-NO" w:eastAsia="nb-NO"/>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dbdate">
    <w:name w:val="dbdate"/>
    <w:rsid w:val="007F3BF7"/>
    <w:rPr>
      <w:rFonts w:ascii="Times New Roman" w:hAnsi="Times New Roman" w:cs="Times New Roman"/>
    </w:rPr>
  </w:style>
  <w:style w:type="paragraph" w:customStyle="1" w:styleId="EndNoteBibliography">
    <w:name w:val="EndNote Bibliography"/>
    <w:basedOn w:val="a2"/>
    <w:link w:val="EndNoteBibliographyChar"/>
    <w:rsid w:val="007F3BF7"/>
    <w:pPr>
      <w:tabs>
        <w:tab w:val="left" w:pos="510"/>
      </w:tabs>
      <w:spacing w:after="0" w:line="240" w:lineRule="atLeast"/>
    </w:pPr>
    <w:rPr>
      <w:rFonts w:ascii="Georgia" w:eastAsia="Times New Roman" w:hAnsi="Georgia" w:cs="Times New Roman"/>
      <w:noProof/>
      <w:szCs w:val="21"/>
      <w:lang w:val="nb-NO" w:eastAsia="nb-NO"/>
    </w:rPr>
  </w:style>
  <w:style w:type="character" w:customStyle="1" w:styleId="EndNoteBibliographyChar">
    <w:name w:val="EndNote Bibliography Char"/>
    <w:link w:val="EndNoteBibliography"/>
    <w:rsid w:val="007F3BF7"/>
    <w:rPr>
      <w:rFonts w:ascii="Georgia" w:eastAsia="Times New Roman" w:hAnsi="Georgia" w:cs="Times New Roman"/>
      <w:noProof/>
      <w:szCs w:val="21"/>
      <w:lang w:val="nb-NO" w:eastAsia="nb-NO"/>
    </w:rPr>
  </w:style>
  <w:style w:type="paragraph" w:customStyle="1" w:styleId="EndNoteBibliographyTitle">
    <w:name w:val="EndNote Bibliography Title"/>
    <w:basedOn w:val="a2"/>
    <w:link w:val="EndNoteBibliographyTitleChar"/>
    <w:rsid w:val="007F3BF7"/>
    <w:pPr>
      <w:tabs>
        <w:tab w:val="left" w:pos="510"/>
      </w:tabs>
      <w:spacing w:after="0" w:line="326" w:lineRule="atLeast"/>
      <w:jc w:val="center"/>
    </w:pPr>
    <w:rPr>
      <w:rFonts w:ascii="Georgia" w:eastAsia="Times New Roman" w:hAnsi="Georgia" w:cs="Times New Roman"/>
      <w:noProof/>
      <w:szCs w:val="21"/>
      <w:lang w:val="nb-NO" w:eastAsia="nb-NO"/>
    </w:rPr>
  </w:style>
  <w:style w:type="character" w:customStyle="1" w:styleId="EndNoteBibliographyTitleChar">
    <w:name w:val="EndNote Bibliography Title Char"/>
    <w:basedOn w:val="a3"/>
    <w:link w:val="EndNoteBibliographyTitle"/>
    <w:rsid w:val="007F3BF7"/>
    <w:rPr>
      <w:rFonts w:ascii="Georgia" w:eastAsia="Times New Roman" w:hAnsi="Georgia" w:cs="Times New Roman"/>
      <w:noProof/>
      <w:szCs w:val="21"/>
      <w:lang w:val="nb-NO" w:eastAsia="nb-NO"/>
    </w:rPr>
  </w:style>
  <w:style w:type="character" w:customStyle="1" w:styleId="BalloonTextChar2">
    <w:name w:val="Balloon Text Char2"/>
    <w:basedOn w:val="a3"/>
    <w:uiPriority w:val="99"/>
    <w:semiHidden/>
    <w:rsid w:val="007F3BF7"/>
    <w:rPr>
      <w:rFonts w:ascii="Segoe UI" w:hAnsi="Segoe UI" w:cs="Segoe UI"/>
      <w:sz w:val="18"/>
      <w:szCs w:val="18"/>
    </w:rPr>
  </w:style>
  <w:style w:type="paragraph" w:customStyle="1" w:styleId="Default">
    <w:name w:val="Default"/>
    <w:rsid w:val="007F3BF7"/>
    <w:pPr>
      <w:autoSpaceDE w:val="0"/>
      <w:autoSpaceDN w:val="0"/>
      <w:adjustRightInd w:val="0"/>
      <w:spacing w:after="0" w:line="240" w:lineRule="auto"/>
    </w:pPr>
    <w:rPr>
      <w:rFonts w:ascii="Arial" w:hAnsi="Arial" w:cs="Arial"/>
      <w:color w:val="000000"/>
      <w:sz w:val="24"/>
      <w:szCs w:val="24"/>
      <w:lang w:val="nb-NO"/>
    </w:rPr>
  </w:style>
  <w:style w:type="paragraph" w:styleId="afff9">
    <w:name w:val="Revision"/>
    <w:hidden/>
    <w:uiPriority w:val="99"/>
    <w:rsid w:val="007F3BF7"/>
    <w:pPr>
      <w:spacing w:after="0" w:line="240" w:lineRule="auto"/>
    </w:pPr>
    <w:rPr>
      <w:rFonts w:ascii="Georgia" w:eastAsia="Times New Roman" w:hAnsi="Georgia" w:cs="Times New Roman"/>
      <w:szCs w:val="21"/>
      <w:lang w:val="nb-NO" w:eastAsia="nb-NO"/>
    </w:rPr>
  </w:style>
  <w:style w:type="character" w:customStyle="1" w:styleId="tmmark">
    <w:name w:val="tmmark"/>
    <w:basedOn w:val="a3"/>
    <w:rsid w:val="007F3BF7"/>
  </w:style>
  <w:style w:type="character" w:customStyle="1" w:styleId="slvzr-first-child">
    <w:name w:val="slvzr-first-child"/>
    <w:basedOn w:val="a3"/>
    <w:rsid w:val="007F3BF7"/>
  </w:style>
  <w:style w:type="paragraph" w:customStyle="1" w:styleId="Listeavsnitt1">
    <w:name w:val="Listeavsnitt1"/>
    <w:basedOn w:val="a2"/>
    <w:uiPriority w:val="99"/>
    <w:qFormat/>
    <w:rsid w:val="007F3BF7"/>
    <w:pPr>
      <w:spacing w:after="0" w:line="240" w:lineRule="auto"/>
      <w:ind w:left="720"/>
      <w:contextualSpacing/>
    </w:pPr>
    <w:rPr>
      <w:rFonts w:ascii="Times New Roman" w:eastAsia="Times New Roman" w:hAnsi="Times New Roman" w:cs="Times New Roman"/>
      <w:sz w:val="24"/>
      <w:szCs w:val="24"/>
      <w:lang w:val="nb-NO" w:eastAsia="nb-NO"/>
    </w:rPr>
  </w:style>
  <w:style w:type="character" w:customStyle="1" w:styleId="underline1">
    <w:name w:val="underline1"/>
    <w:basedOn w:val="a3"/>
    <w:rsid w:val="007F3BF7"/>
    <w:rPr>
      <w:u w:val="single"/>
    </w:rPr>
  </w:style>
  <w:style w:type="character" w:customStyle="1" w:styleId="label">
    <w:name w:val="label"/>
    <w:basedOn w:val="a3"/>
    <w:rsid w:val="007F3BF7"/>
  </w:style>
  <w:style w:type="character" w:customStyle="1" w:styleId="cell">
    <w:name w:val="cell"/>
    <w:basedOn w:val="a3"/>
    <w:rsid w:val="007F3BF7"/>
  </w:style>
  <w:style w:type="character" w:customStyle="1" w:styleId="block">
    <w:name w:val="block"/>
    <w:basedOn w:val="a3"/>
    <w:rsid w:val="007F3BF7"/>
  </w:style>
  <w:style w:type="character" w:customStyle="1" w:styleId="quality-sign1">
    <w:name w:val="quality-sign1"/>
    <w:basedOn w:val="a3"/>
    <w:rsid w:val="007F3BF7"/>
    <w:rPr>
      <w:rFonts w:ascii="GRADE-quality" w:hAnsi="GRADE-quality" w:hint="default"/>
      <w:sz w:val="21"/>
      <w:szCs w:val="21"/>
    </w:rPr>
  </w:style>
  <w:style w:type="paragraph" w:customStyle="1" w:styleId="Normal1">
    <w:name w:val="Normal1"/>
    <w:basedOn w:val="a2"/>
    <w:rsid w:val="007F3BF7"/>
    <w:pPr>
      <w:spacing w:after="0" w:line="320" w:lineRule="atLeast"/>
    </w:pPr>
    <w:rPr>
      <w:rFonts w:ascii="Georgia" w:eastAsia="Times New Roman" w:hAnsi="Georgia" w:cs="Times New Roman"/>
      <w:lang w:val="en-US"/>
    </w:rPr>
  </w:style>
  <w:style w:type="character" w:customStyle="1" w:styleId="notranslate">
    <w:name w:val="notranslate"/>
    <w:basedOn w:val="a3"/>
    <w:rsid w:val="007F3BF7"/>
  </w:style>
  <w:style w:type="character" w:customStyle="1" w:styleId="google-src-text1">
    <w:name w:val="google-src-text1"/>
    <w:basedOn w:val="a3"/>
    <w:rsid w:val="007F3BF7"/>
    <w:rPr>
      <w:vanish/>
      <w:webHidden w:val="0"/>
      <w:specVanish w:val="0"/>
    </w:rPr>
  </w:style>
  <w:style w:type="character" w:customStyle="1" w:styleId="normalchar1">
    <w:name w:val="normal__char1"/>
    <w:basedOn w:val="a3"/>
    <w:rsid w:val="007F3BF7"/>
    <w:rPr>
      <w:rFonts w:ascii="Georgia" w:hAnsi="Georgia" w:hint="default"/>
      <w:sz w:val="22"/>
      <w:szCs w:val="22"/>
    </w:rPr>
  </w:style>
  <w:style w:type="character" w:customStyle="1" w:styleId="page0020numberchar1">
    <w:name w:val="page_0020number__char1"/>
    <w:basedOn w:val="a3"/>
    <w:rsid w:val="007F3BF7"/>
    <w:rPr>
      <w:rFonts w:ascii="Arial Narrow" w:hAnsi="Arial Narrow" w:hint="default"/>
      <w:sz w:val="18"/>
      <w:szCs w:val="18"/>
    </w:rPr>
  </w:style>
  <w:style w:type="paragraph" w:customStyle="1" w:styleId="xkaLedetekst">
    <w:name w:val="xkaLedetekst"/>
    <w:rsid w:val="006B637D"/>
    <w:pPr>
      <w:spacing w:before="20" w:after="60" w:line="240" w:lineRule="auto"/>
      <w:ind w:left="57"/>
    </w:pPr>
    <w:rPr>
      <w:rFonts w:ascii="Helvetica" w:eastAsia="Times New Roman" w:hAnsi="Helvetica" w:cs="Times New Roman"/>
      <w:noProof/>
      <w:sz w:val="14"/>
      <w:szCs w:val="20"/>
      <w:lang w:val="en-US" w:eastAsia="zh-CN"/>
    </w:rPr>
  </w:style>
  <w:style w:type="paragraph" w:customStyle="1" w:styleId="xkaSkjemaTittel">
    <w:name w:val="xkaSkjemaTittel"/>
    <w:next w:val="a2"/>
    <w:rsid w:val="006B637D"/>
    <w:pPr>
      <w:spacing w:after="0" w:line="240" w:lineRule="auto"/>
    </w:pPr>
    <w:rPr>
      <w:rFonts w:ascii="Trebuchet MS" w:eastAsia="Times New Roman" w:hAnsi="Trebuchet MS" w:cs="Times New Roman"/>
      <w:b/>
      <w:noProof/>
      <w:sz w:val="44"/>
      <w:szCs w:val="20"/>
      <w:lang w:val="en-US" w:eastAsia="zh-CN"/>
    </w:rPr>
  </w:style>
  <w:style w:type="paragraph" w:customStyle="1" w:styleId="NormalBold">
    <w:name w:val="Normal Bold"/>
    <w:basedOn w:val="a2"/>
    <w:rsid w:val="006B637D"/>
    <w:pPr>
      <w:spacing w:after="0" w:line="326" w:lineRule="exact"/>
    </w:pPr>
    <w:rPr>
      <w:rFonts w:ascii="Georgia" w:eastAsia="Times New Roman" w:hAnsi="Georgia" w:cs="Times New Roman"/>
      <w:b/>
      <w:szCs w:val="20"/>
      <w:lang w:val="nb-NO" w:eastAsia="zh-CN"/>
    </w:rPr>
  </w:style>
  <w:style w:type="paragraph" w:customStyle="1" w:styleId="Stil10ptFetVenstre025cmFr3ptEtter3pt">
    <w:name w:val="Stil 10 pt Fet Venstre:  025 cm Før:  3 pt Etter:  3 pt"/>
    <w:basedOn w:val="a2"/>
    <w:rsid w:val="006B637D"/>
    <w:pPr>
      <w:spacing w:before="60" w:after="60" w:line="326" w:lineRule="exact"/>
      <w:ind w:left="142"/>
    </w:pPr>
    <w:rPr>
      <w:rFonts w:ascii="Georgia" w:eastAsia="Times New Roman" w:hAnsi="Georgia" w:cs="Times New Roman"/>
      <w:b/>
      <w:bCs/>
      <w:sz w:val="20"/>
      <w:szCs w:val="20"/>
      <w:lang w:val="nb-NO" w:eastAsia="zh-CN"/>
    </w:rPr>
  </w:style>
  <w:style w:type="paragraph" w:customStyle="1" w:styleId="StilxkaSkjemaTittelVenstre03cmFr3ptEtter3pt">
    <w:name w:val="Stil xkaSkjemaTittel + Venstre:  03 cm Før:  3 pt Etter:  3 pt"/>
    <w:basedOn w:val="xkaSkjemaTittel"/>
    <w:rsid w:val="006B637D"/>
    <w:pPr>
      <w:spacing w:before="60" w:after="60"/>
      <w:ind w:left="170"/>
    </w:pPr>
    <w:rPr>
      <w:bCs/>
    </w:rPr>
  </w:style>
  <w:style w:type="paragraph" w:customStyle="1" w:styleId="Relevancetablelist">
    <w:name w:val="Relevance table list"/>
    <w:basedOn w:val="a2"/>
    <w:rsid w:val="006B637D"/>
    <w:pPr>
      <w:numPr>
        <w:numId w:val="57"/>
      </w:numPr>
      <w:spacing w:after="0" w:line="326" w:lineRule="exact"/>
    </w:pPr>
    <w:rPr>
      <w:rFonts w:ascii="Georgia" w:eastAsia="Times New Roman" w:hAnsi="Georgia" w:cs="Times New Roman"/>
      <w:szCs w:val="20"/>
      <w:lang w:val="nb-NO" w:eastAsia="zh-CN"/>
    </w:rPr>
  </w:style>
  <w:style w:type="character" w:customStyle="1" w:styleId="hps">
    <w:name w:val="hps"/>
    <w:basedOn w:val="a3"/>
    <w:rsid w:val="006B637D"/>
  </w:style>
  <w:style w:type="paragraph" w:customStyle="1" w:styleId="expandotherbutton">
    <w:name w:val="expandotherbutton"/>
    <w:basedOn w:val="a2"/>
    <w:rsid w:val="006B637D"/>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pagecontentatctreeview0">
    <w:name w:val="pagecontent_atctreeview_0"/>
    <w:basedOn w:val="a3"/>
    <w:rsid w:val="006B637D"/>
  </w:style>
  <w:style w:type="character" w:customStyle="1" w:styleId="journal">
    <w:name w:val="journal"/>
    <w:basedOn w:val="a3"/>
    <w:rsid w:val="006B637D"/>
  </w:style>
  <w:style w:type="character" w:customStyle="1" w:styleId="jnumber">
    <w:name w:val="jnumber"/>
    <w:basedOn w:val="a3"/>
    <w:rsid w:val="006B637D"/>
  </w:style>
  <w:style w:type="character" w:customStyle="1" w:styleId="dic">
    <w:name w:val="dic"/>
    <w:basedOn w:val="a3"/>
    <w:rsid w:val="006B6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List Bullet" w:qFormat="1"/>
    <w:lsdException w:name="List Bullet 2" w:uiPriority="99"/>
    <w:lsdException w:name="Title" w:semiHidden="0" w:uiPriority="10" w:unhideWhenUsed="0" w:qFormat="1"/>
    <w:lsdException w:name="Default Paragraph Font" w:uiPriority="1"/>
    <w:lsdException w:name="Subtitle" w:semiHidden="0" w:uiPriority="11" w:unhideWhenUsed="0" w:qFormat="1"/>
    <w:lsdException w:name="Hyperlink" w:uiPriority="99"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61"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64"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1C66"/>
    <w:pPr>
      <w:keepNext/>
      <w:keepLines/>
      <w:tabs>
        <w:tab w:val="num" w:pos="340"/>
      </w:tabs>
      <w:spacing w:before="480" w:after="0"/>
      <w:ind w:left="340" w:hanging="3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D1C66"/>
    <w:pPr>
      <w:keepNext/>
      <w:numPr>
        <w:ilvl w:val="1"/>
        <w:numId w:val="11"/>
      </w:numPr>
      <w:spacing w:before="240" w:after="60" w:line="240" w:lineRule="auto"/>
      <w:outlineLvl w:val="1"/>
    </w:pPr>
    <w:rPr>
      <w:rFonts w:ascii="Arial" w:eastAsia="Times New Roman" w:hAnsi="Arial" w:cs="Arial"/>
      <w:b/>
      <w:bCs/>
      <w:szCs w:val="28"/>
    </w:rPr>
  </w:style>
  <w:style w:type="paragraph" w:styleId="Heading3">
    <w:name w:val="heading 3"/>
    <w:basedOn w:val="Normal"/>
    <w:next w:val="Normal"/>
    <w:link w:val="Heading3Char"/>
    <w:qFormat/>
    <w:rsid w:val="007F3BF7"/>
    <w:pPr>
      <w:keepNext/>
      <w:numPr>
        <w:ilvl w:val="2"/>
        <w:numId w:val="11"/>
      </w:numPr>
      <w:tabs>
        <w:tab w:val="clear" w:pos="2160"/>
        <w:tab w:val="left" w:pos="510"/>
      </w:tabs>
      <w:spacing w:after="120" w:line="326" w:lineRule="atLeast"/>
      <w:ind w:left="720" w:hanging="432"/>
      <w:outlineLvl w:val="2"/>
    </w:pPr>
    <w:rPr>
      <w:rFonts w:ascii="Georgia" w:eastAsia="Times New Roman" w:hAnsi="Georgia" w:cs="Times New Roman"/>
      <w:b/>
      <w:szCs w:val="26"/>
      <w:lang w:val="nb-NO" w:eastAsia="nb-NO"/>
    </w:rPr>
  </w:style>
  <w:style w:type="paragraph" w:styleId="Heading4">
    <w:name w:val="heading 4"/>
    <w:basedOn w:val="Normal"/>
    <w:next w:val="Normal"/>
    <w:link w:val="Heading4Char"/>
    <w:qFormat/>
    <w:rsid w:val="007F3BF7"/>
    <w:pPr>
      <w:keepNext/>
      <w:numPr>
        <w:ilvl w:val="3"/>
        <w:numId w:val="11"/>
      </w:numPr>
      <w:tabs>
        <w:tab w:val="clear" w:pos="2880"/>
        <w:tab w:val="left" w:pos="510"/>
      </w:tabs>
      <w:spacing w:after="20" w:line="326" w:lineRule="atLeast"/>
      <w:ind w:left="864" w:hanging="144"/>
      <w:outlineLvl w:val="3"/>
    </w:pPr>
    <w:rPr>
      <w:rFonts w:ascii="Georgia" w:eastAsia="Times New Roman" w:hAnsi="Georgia" w:cs="Times New Roman"/>
      <w:b/>
      <w:i/>
      <w:szCs w:val="28"/>
      <w:lang w:val="nb-NO" w:eastAsia="nb-NO"/>
    </w:rPr>
  </w:style>
  <w:style w:type="paragraph" w:styleId="Heading5">
    <w:name w:val="heading 5"/>
    <w:basedOn w:val="Normal"/>
    <w:next w:val="Normal"/>
    <w:link w:val="Heading5Char"/>
    <w:qFormat/>
    <w:rsid w:val="007F3BF7"/>
    <w:pPr>
      <w:numPr>
        <w:ilvl w:val="4"/>
        <w:numId w:val="11"/>
      </w:numPr>
      <w:tabs>
        <w:tab w:val="clear" w:pos="3600"/>
        <w:tab w:val="left" w:pos="510"/>
      </w:tabs>
      <w:spacing w:after="0" w:line="326" w:lineRule="atLeast"/>
      <w:ind w:left="1008" w:hanging="432"/>
      <w:outlineLvl w:val="4"/>
    </w:pPr>
    <w:rPr>
      <w:rFonts w:ascii="Georgia" w:eastAsia="Times New Roman" w:hAnsi="Georgia" w:cs="Times New Roman"/>
      <w:i/>
      <w:szCs w:val="26"/>
      <w:lang w:val="nb-NO" w:eastAsia="nb-NO"/>
    </w:rPr>
  </w:style>
  <w:style w:type="paragraph" w:styleId="Heading6">
    <w:name w:val="heading 6"/>
    <w:basedOn w:val="Normal"/>
    <w:next w:val="Normal"/>
    <w:link w:val="Heading6Char"/>
    <w:qFormat/>
    <w:rsid w:val="007F3BF7"/>
    <w:pPr>
      <w:numPr>
        <w:ilvl w:val="5"/>
        <w:numId w:val="11"/>
      </w:numPr>
      <w:tabs>
        <w:tab w:val="clear" w:pos="4320"/>
        <w:tab w:val="left" w:pos="510"/>
      </w:tabs>
      <w:spacing w:before="240" w:after="60" w:line="326" w:lineRule="atLeast"/>
      <w:ind w:left="1152" w:hanging="432"/>
      <w:outlineLvl w:val="5"/>
    </w:pPr>
    <w:rPr>
      <w:rFonts w:ascii="Georgia" w:eastAsia="Times New Roman" w:hAnsi="Georgia" w:cs="Times New Roman"/>
      <w:b/>
      <w:sz w:val="18"/>
      <w:lang w:val="nb-NO" w:eastAsia="nb-NO"/>
    </w:rPr>
  </w:style>
  <w:style w:type="paragraph" w:styleId="Heading7">
    <w:name w:val="heading 7"/>
    <w:basedOn w:val="Normal"/>
    <w:next w:val="Normal"/>
    <w:link w:val="Heading7Char"/>
    <w:qFormat/>
    <w:rsid w:val="007F3BF7"/>
    <w:pPr>
      <w:numPr>
        <w:ilvl w:val="6"/>
        <w:numId w:val="11"/>
      </w:numPr>
      <w:tabs>
        <w:tab w:val="clear" w:pos="5040"/>
        <w:tab w:val="left" w:pos="510"/>
      </w:tabs>
      <w:spacing w:before="240" w:after="60" w:line="326" w:lineRule="atLeast"/>
      <w:ind w:left="1296" w:hanging="288"/>
      <w:outlineLvl w:val="6"/>
    </w:pPr>
    <w:rPr>
      <w:rFonts w:ascii="Georgia" w:eastAsia="Times New Roman" w:hAnsi="Georgia" w:cs="Times New Roman"/>
      <w:sz w:val="18"/>
      <w:szCs w:val="21"/>
      <w:lang w:val="nb-NO" w:eastAsia="nb-NO"/>
    </w:rPr>
  </w:style>
  <w:style w:type="paragraph" w:styleId="Heading8">
    <w:name w:val="heading 8"/>
    <w:basedOn w:val="Normal"/>
    <w:next w:val="Normal"/>
    <w:link w:val="Heading8Char"/>
    <w:qFormat/>
    <w:rsid w:val="007F3BF7"/>
    <w:pPr>
      <w:numPr>
        <w:ilvl w:val="7"/>
        <w:numId w:val="11"/>
      </w:numPr>
      <w:tabs>
        <w:tab w:val="clear" w:pos="5760"/>
        <w:tab w:val="left" w:pos="510"/>
      </w:tabs>
      <w:spacing w:before="240" w:after="60" w:line="326" w:lineRule="atLeast"/>
      <w:ind w:left="1440" w:hanging="432"/>
      <w:outlineLvl w:val="7"/>
    </w:pPr>
    <w:rPr>
      <w:rFonts w:ascii="Georgia" w:eastAsia="Times New Roman" w:hAnsi="Georgia" w:cs="Times New Roman"/>
      <w:i/>
      <w:sz w:val="18"/>
      <w:szCs w:val="21"/>
      <w:lang w:val="nb-NO" w:eastAsia="nb-NO"/>
    </w:rPr>
  </w:style>
  <w:style w:type="paragraph" w:styleId="Heading9">
    <w:name w:val="heading 9"/>
    <w:basedOn w:val="Normal"/>
    <w:next w:val="Normal"/>
    <w:link w:val="Heading9Char"/>
    <w:qFormat/>
    <w:rsid w:val="007F3BF7"/>
    <w:pPr>
      <w:numPr>
        <w:ilvl w:val="8"/>
        <w:numId w:val="11"/>
      </w:numPr>
      <w:tabs>
        <w:tab w:val="clear" w:pos="6480"/>
        <w:tab w:val="left" w:pos="510"/>
      </w:tabs>
      <w:spacing w:before="240" w:after="60" w:line="326" w:lineRule="atLeast"/>
      <w:ind w:left="1584" w:hanging="144"/>
      <w:outlineLvl w:val="8"/>
    </w:pPr>
    <w:rPr>
      <w:rFonts w:ascii="Sun Cd TFm" w:eastAsia="Times New Roman" w:hAnsi="Sun Cd TFm" w:cs="Times New Roman"/>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D1C66"/>
    <w:pPr>
      <w:tabs>
        <w:tab w:val="left" w:pos="510"/>
      </w:tabs>
      <w:spacing w:after="0" w:line="240" w:lineRule="auto"/>
    </w:pPr>
    <w:rPr>
      <w:rFonts w:ascii="Georgia" w:eastAsia="Times New Roman" w:hAnsi="Georgia" w:cs="Times New Roman"/>
      <w:szCs w:val="21"/>
      <w:lang w:val="nb-NO" w:eastAsia="nb-NO"/>
    </w:rPr>
  </w:style>
  <w:style w:type="character" w:customStyle="1" w:styleId="NoSpacingChar">
    <w:name w:val="No Spacing Char"/>
    <w:basedOn w:val="DefaultParagraphFont"/>
    <w:link w:val="NoSpacing"/>
    <w:rsid w:val="00ED1C66"/>
    <w:rPr>
      <w:rFonts w:ascii="Georgia" w:eastAsia="Times New Roman" w:hAnsi="Georgia" w:cs="Times New Roman"/>
      <w:szCs w:val="21"/>
      <w:lang w:val="nb-NO" w:eastAsia="nb-NO"/>
    </w:rPr>
  </w:style>
  <w:style w:type="character" w:customStyle="1" w:styleId="apple-converted-space">
    <w:name w:val="apple-converted-space"/>
    <w:rsid w:val="00ED1C66"/>
    <w:rPr>
      <w:rFonts w:ascii="Times New Roman" w:hAnsi="Times New Roman" w:cs="Times New Roman"/>
    </w:rPr>
  </w:style>
  <w:style w:type="character" w:customStyle="1" w:styleId="dbname">
    <w:name w:val="dbname"/>
    <w:rsid w:val="00ED1C66"/>
    <w:rPr>
      <w:rFonts w:ascii="Times New Roman" w:hAnsi="Times New Roman" w:cs="Times New Roman"/>
    </w:rPr>
  </w:style>
  <w:style w:type="character" w:customStyle="1" w:styleId="searchhistory-search-term">
    <w:name w:val="searchhistory-search-term"/>
    <w:basedOn w:val="DefaultParagraphFont"/>
    <w:rsid w:val="00ED1C66"/>
  </w:style>
  <w:style w:type="character" w:customStyle="1" w:styleId="Heading1Char">
    <w:name w:val="Heading 1 Char"/>
    <w:basedOn w:val="DefaultParagraphFont"/>
    <w:link w:val="Heading1"/>
    <w:rsid w:val="00ED1C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D1C66"/>
    <w:rPr>
      <w:rFonts w:ascii="Arial" w:eastAsia="Times New Roman" w:hAnsi="Arial" w:cs="Arial"/>
      <w:b/>
      <w:bCs/>
      <w:szCs w:val="28"/>
    </w:rPr>
  </w:style>
  <w:style w:type="character" w:styleId="CommentReference">
    <w:name w:val="annotation reference"/>
    <w:basedOn w:val="DefaultParagraphFont"/>
    <w:unhideWhenUsed/>
    <w:rsid w:val="007658C4"/>
    <w:rPr>
      <w:sz w:val="16"/>
      <w:szCs w:val="16"/>
    </w:rPr>
  </w:style>
  <w:style w:type="paragraph" w:styleId="CommentText">
    <w:name w:val="annotation text"/>
    <w:basedOn w:val="Normal"/>
    <w:link w:val="CommentTextChar"/>
    <w:unhideWhenUsed/>
    <w:rsid w:val="007658C4"/>
    <w:pPr>
      <w:spacing w:line="240" w:lineRule="auto"/>
    </w:pPr>
    <w:rPr>
      <w:sz w:val="20"/>
      <w:szCs w:val="20"/>
    </w:rPr>
  </w:style>
  <w:style w:type="character" w:customStyle="1" w:styleId="CommentTextChar">
    <w:name w:val="Comment Text Char"/>
    <w:basedOn w:val="DefaultParagraphFont"/>
    <w:link w:val="CommentText"/>
    <w:rsid w:val="007658C4"/>
    <w:rPr>
      <w:sz w:val="20"/>
      <w:szCs w:val="20"/>
    </w:rPr>
  </w:style>
  <w:style w:type="paragraph" w:styleId="CommentSubject">
    <w:name w:val="annotation subject"/>
    <w:basedOn w:val="CommentText"/>
    <w:next w:val="CommentText"/>
    <w:link w:val="CommentSubjectChar"/>
    <w:unhideWhenUsed/>
    <w:rsid w:val="007658C4"/>
    <w:rPr>
      <w:b/>
      <w:bCs/>
    </w:rPr>
  </w:style>
  <w:style w:type="character" w:customStyle="1" w:styleId="CommentSubjectChar">
    <w:name w:val="Comment Subject Char"/>
    <w:basedOn w:val="CommentTextChar"/>
    <w:link w:val="CommentSubject"/>
    <w:rsid w:val="007658C4"/>
    <w:rPr>
      <w:b/>
      <w:bCs/>
      <w:sz w:val="20"/>
      <w:szCs w:val="20"/>
    </w:rPr>
  </w:style>
  <w:style w:type="paragraph" w:styleId="BalloonText">
    <w:name w:val="Balloon Text"/>
    <w:basedOn w:val="Normal"/>
    <w:link w:val="BalloonTextChar"/>
    <w:semiHidden/>
    <w:unhideWhenUsed/>
    <w:rsid w:val="0076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8C4"/>
    <w:rPr>
      <w:rFonts w:ascii="Tahoma" w:hAnsi="Tahoma" w:cs="Tahoma"/>
      <w:sz w:val="16"/>
      <w:szCs w:val="16"/>
    </w:rPr>
  </w:style>
  <w:style w:type="character" w:customStyle="1" w:styleId="Heading3Char">
    <w:name w:val="Heading 3 Char"/>
    <w:basedOn w:val="DefaultParagraphFont"/>
    <w:link w:val="Heading3"/>
    <w:rsid w:val="007F3BF7"/>
    <w:rPr>
      <w:rFonts w:ascii="Georgia" w:eastAsia="Times New Roman" w:hAnsi="Georgia" w:cs="Times New Roman"/>
      <w:b/>
      <w:szCs w:val="26"/>
      <w:lang w:val="nb-NO" w:eastAsia="nb-NO"/>
    </w:rPr>
  </w:style>
  <w:style w:type="character" w:customStyle="1" w:styleId="Heading4Char">
    <w:name w:val="Heading 4 Char"/>
    <w:basedOn w:val="DefaultParagraphFont"/>
    <w:link w:val="Heading4"/>
    <w:rsid w:val="007F3BF7"/>
    <w:rPr>
      <w:rFonts w:ascii="Georgia" w:eastAsia="Times New Roman" w:hAnsi="Georgia" w:cs="Times New Roman"/>
      <w:b/>
      <w:i/>
      <w:szCs w:val="28"/>
      <w:lang w:val="nb-NO" w:eastAsia="nb-NO"/>
    </w:rPr>
  </w:style>
  <w:style w:type="character" w:customStyle="1" w:styleId="Heading5Char">
    <w:name w:val="Heading 5 Char"/>
    <w:basedOn w:val="DefaultParagraphFont"/>
    <w:link w:val="Heading5"/>
    <w:rsid w:val="007F3BF7"/>
    <w:rPr>
      <w:rFonts w:ascii="Georgia" w:eastAsia="Times New Roman" w:hAnsi="Georgia" w:cs="Times New Roman"/>
      <w:i/>
      <w:szCs w:val="26"/>
      <w:lang w:val="nb-NO" w:eastAsia="nb-NO"/>
    </w:rPr>
  </w:style>
  <w:style w:type="character" w:customStyle="1" w:styleId="Heading6Char">
    <w:name w:val="Heading 6 Char"/>
    <w:basedOn w:val="DefaultParagraphFont"/>
    <w:link w:val="Heading6"/>
    <w:rsid w:val="007F3BF7"/>
    <w:rPr>
      <w:rFonts w:ascii="Georgia" w:eastAsia="Times New Roman" w:hAnsi="Georgia" w:cs="Times New Roman"/>
      <w:b/>
      <w:sz w:val="18"/>
      <w:lang w:val="nb-NO" w:eastAsia="nb-NO"/>
    </w:rPr>
  </w:style>
  <w:style w:type="character" w:customStyle="1" w:styleId="Heading7Char">
    <w:name w:val="Heading 7 Char"/>
    <w:basedOn w:val="DefaultParagraphFont"/>
    <w:link w:val="Heading7"/>
    <w:rsid w:val="007F3BF7"/>
    <w:rPr>
      <w:rFonts w:ascii="Georgia" w:eastAsia="Times New Roman" w:hAnsi="Georgia" w:cs="Times New Roman"/>
      <w:sz w:val="18"/>
      <w:szCs w:val="21"/>
      <w:lang w:val="nb-NO" w:eastAsia="nb-NO"/>
    </w:rPr>
  </w:style>
  <w:style w:type="character" w:customStyle="1" w:styleId="Heading8Char">
    <w:name w:val="Heading 8 Char"/>
    <w:basedOn w:val="DefaultParagraphFont"/>
    <w:link w:val="Heading8"/>
    <w:rsid w:val="007F3BF7"/>
    <w:rPr>
      <w:rFonts w:ascii="Georgia" w:eastAsia="Times New Roman" w:hAnsi="Georgia" w:cs="Times New Roman"/>
      <w:i/>
      <w:sz w:val="18"/>
      <w:szCs w:val="21"/>
      <w:lang w:val="nb-NO" w:eastAsia="nb-NO"/>
    </w:rPr>
  </w:style>
  <w:style w:type="character" w:customStyle="1" w:styleId="Heading9Char">
    <w:name w:val="Heading 9 Char"/>
    <w:basedOn w:val="DefaultParagraphFont"/>
    <w:link w:val="Heading9"/>
    <w:rsid w:val="007F3BF7"/>
    <w:rPr>
      <w:rFonts w:ascii="Sun Cd TFm" w:eastAsia="Times New Roman" w:hAnsi="Sun Cd TFm" w:cs="Times New Roman"/>
      <w:lang w:eastAsia="nb-NO"/>
    </w:rPr>
  </w:style>
  <w:style w:type="paragraph" w:customStyle="1" w:styleId="kolofon">
    <w:name w:val="kolofon"/>
    <w:basedOn w:val="Normal"/>
    <w:link w:val="kolofonChar"/>
    <w:rsid w:val="007F3BF7"/>
    <w:pPr>
      <w:spacing w:after="0" w:line="326" w:lineRule="atLeast"/>
    </w:pPr>
    <w:rPr>
      <w:rFonts w:ascii="Georgia" w:eastAsia="Times New Roman" w:hAnsi="Georgia" w:cs="Times New Roman"/>
      <w:noProof/>
      <w:sz w:val="20"/>
      <w:szCs w:val="21"/>
      <w:lang w:val="en-US" w:eastAsia="nb-NO"/>
    </w:rPr>
  </w:style>
  <w:style w:type="table" w:styleId="TableList3">
    <w:name w:val="Table List 3"/>
    <w:basedOn w:val="TableNormal"/>
    <w:rsid w:val="007F3BF7"/>
    <w:pPr>
      <w:tabs>
        <w:tab w:val="left" w:pos="510"/>
      </w:tabs>
      <w:spacing w:after="0" w:line="240" w:lineRule="auto"/>
    </w:pPr>
    <w:rPr>
      <w:rFonts w:ascii="Arial Narrow" w:eastAsia="Times New Roman" w:hAnsi="Arial Narrow" w:cs="Times New Roman"/>
      <w:szCs w:val="20"/>
      <w:lang w:val="nb-NO" w:eastAsia="nb-NO"/>
    </w:rPr>
    <w:tblPr>
      <w:tblStyleRowBandSize w:val="1"/>
      <w:tblStyleColBandSize w:val="1"/>
      <w:tblBorders>
        <w:top w:val="single" w:sz="4" w:space="0" w:color="000000"/>
        <w:bottom w:val="single" w:sz="4" w:space="0" w:color="000000"/>
        <w:insideH w:val="single" w:sz="4" w:space="0" w:color="000000"/>
      </w:tblBorders>
      <w:tblCellMar>
        <w:top w:w="68" w:type="dxa"/>
        <w:left w:w="57" w:type="dxa"/>
        <w:bottom w:w="68" w:type="dxa"/>
        <w:right w:w="57" w:type="dxa"/>
      </w:tblCellMar>
    </w:tblPr>
    <w:tcPr>
      <w:shd w:val="clear" w:color="auto" w:fill="auto"/>
    </w:tcPr>
    <w:tblStylePr w:type="firstRow">
      <w:pPr>
        <w:jc w:val="left"/>
      </w:pPr>
      <w:rPr>
        <w:rFonts w:ascii="MS Mincho" w:hAnsi="MS Mincho"/>
        <w:b/>
        <w:sz w:val="22"/>
      </w:rPr>
      <w:tblPr/>
      <w:tcPr>
        <w:shd w:val="clear" w:color="auto" w:fill="EEEDEB"/>
      </w:tcPr>
    </w:tblStylePr>
    <w:tblStylePr w:type="lastRow">
      <w:tblPr/>
      <w:tcPr>
        <w:tcBorders>
          <w:top w:val="single" w:sz="4" w:space="0" w:color="auto"/>
          <w:bottom w:val="single" w:sz="4" w:space="0" w:color="auto"/>
          <w:tl2br w:val="none" w:sz="0" w:space="0" w:color="auto"/>
          <w:tr2bl w:val="none" w:sz="0" w:space="0" w:color="auto"/>
        </w:tcBorders>
        <w:shd w:val="clear" w:color="auto" w:fill="auto"/>
      </w:tcPr>
    </w:tblStylePr>
    <w:tblStylePr w:type="firstCol">
      <w:rPr>
        <w:rFonts w:ascii="Wingdings" w:hAnsi="Wingdings"/>
        <w:b/>
        <w:sz w:val="22"/>
      </w:rPr>
    </w:tblStylePr>
    <w:tblStylePr w:type="lastCol">
      <w:rPr>
        <w:rFonts w:ascii="Wingdings" w:hAnsi="Wingdings"/>
        <w:b w:val="0"/>
        <w:sz w:val="22"/>
      </w:rPr>
      <w:tblPr>
        <w:tblCellMar>
          <w:top w:w="68" w:type="dxa"/>
          <w:left w:w="57" w:type="dxa"/>
          <w:bottom w:w="68" w:type="dxa"/>
          <w:right w:w="57" w:type="dxa"/>
        </w:tblCellMar>
      </w:tblPr>
    </w:tblStylePr>
    <w:tblStylePr w:type="swCell">
      <w:tblPr/>
      <w:tcPr>
        <w:tcBorders>
          <w:tl2br w:val="none" w:sz="0" w:space="0" w:color="auto"/>
          <w:tr2bl w:val="none" w:sz="0" w:space="0" w:color="auto"/>
        </w:tcBorders>
      </w:tcPr>
    </w:tblStylePr>
  </w:style>
  <w:style w:type="paragraph" w:styleId="Header">
    <w:name w:val="header"/>
    <w:basedOn w:val="Normal"/>
    <w:link w:val="HeaderChar"/>
    <w:uiPriority w:val="99"/>
    <w:rsid w:val="007F3BF7"/>
    <w:pPr>
      <w:tabs>
        <w:tab w:val="left" w:pos="510"/>
        <w:tab w:val="center" w:pos="4320"/>
        <w:tab w:val="right" w:pos="8640"/>
      </w:tabs>
      <w:spacing w:after="0" w:line="326" w:lineRule="atLeast"/>
    </w:pPr>
    <w:rPr>
      <w:rFonts w:ascii="Sun Cd TFm" w:eastAsia="Times New Roman" w:hAnsi="Sun Cd TFm" w:cs="Times New Roman"/>
      <w:szCs w:val="21"/>
      <w:lang w:val="nb-NO" w:eastAsia="nb-NO"/>
    </w:rPr>
  </w:style>
  <w:style w:type="character" w:customStyle="1" w:styleId="HeaderChar">
    <w:name w:val="Header Char"/>
    <w:basedOn w:val="DefaultParagraphFont"/>
    <w:link w:val="Header"/>
    <w:uiPriority w:val="99"/>
    <w:rsid w:val="007F3BF7"/>
    <w:rPr>
      <w:rFonts w:ascii="Sun Cd TFm" w:eastAsia="Times New Roman" w:hAnsi="Sun Cd TFm" w:cs="Times New Roman"/>
      <w:szCs w:val="21"/>
      <w:lang w:val="nb-NO" w:eastAsia="nb-NO"/>
    </w:rPr>
  </w:style>
  <w:style w:type="paragraph" w:styleId="Footer">
    <w:name w:val="footer"/>
    <w:basedOn w:val="Normal"/>
    <w:link w:val="FooterChar"/>
    <w:uiPriority w:val="99"/>
    <w:rsid w:val="007F3BF7"/>
    <w:pPr>
      <w:tabs>
        <w:tab w:val="left" w:pos="227"/>
        <w:tab w:val="left" w:pos="510"/>
        <w:tab w:val="center" w:pos="4320"/>
        <w:tab w:val="right" w:pos="8640"/>
      </w:tabs>
      <w:spacing w:after="0" w:line="326" w:lineRule="atLeast"/>
    </w:pPr>
    <w:rPr>
      <w:rFonts w:ascii="Arial Narrow" w:eastAsia="Times New Roman" w:hAnsi="Arial Narrow" w:cs="Times New Roman"/>
      <w:sz w:val="20"/>
      <w:szCs w:val="21"/>
      <w:lang w:val="nb-NO" w:eastAsia="nb-NO"/>
    </w:rPr>
  </w:style>
  <w:style w:type="character" w:customStyle="1" w:styleId="FooterChar">
    <w:name w:val="Footer Char"/>
    <w:basedOn w:val="DefaultParagraphFont"/>
    <w:link w:val="Footer"/>
    <w:uiPriority w:val="99"/>
    <w:rsid w:val="007F3BF7"/>
    <w:rPr>
      <w:rFonts w:ascii="Arial Narrow" w:eastAsia="Times New Roman" w:hAnsi="Arial Narrow" w:cs="Times New Roman"/>
      <w:sz w:val="20"/>
      <w:szCs w:val="21"/>
      <w:lang w:val="nb-NO" w:eastAsia="nb-NO"/>
    </w:rPr>
  </w:style>
  <w:style w:type="character" w:styleId="PageNumber">
    <w:name w:val="page number"/>
    <w:rsid w:val="007F3BF7"/>
    <w:rPr>
      <w:rFonts w:ascii="Arial Narrow" w:hAnsi="Arial Narrow"/>
      <w:sz w:val="18"/>
    </w:rPr>
  </w:style>
  <w:style w:type="paragraph" w:customStyle="1" w:styleId="Pagenumberodd">
    <w:name w:val="Page number odd"/>
    <w:autoRedefine/>
    <w:semiHidden/>
    <w:rsid w:val="007F3BF7"/>
    <w:pPr>
      <w:spacing w:before="60" w:after="0" w:line="240" w:lineRule="auto"/>
      <w:ind w:right="-1701"/>
      <w:jc w:val="right"/>
    </w:pPr>
    <w:rPr>
      <w:rFonts w:ascii="Sun Cd TFm" w:eastAsia="Times New Roman" w:hAnsi="Sun Cd TFm" w:cs="Times New Roman"/>
      <w:sz w:val="18"/>
      <w:szCs w:val="24"/>
      <w:lang w:val="nb-NO" w:eastAsia="nb-NO"/>
    </w:rPr>
  </w:style>
  <w:style w:type="paragraph" w:customStyle="1" w:styleId="Figuretext">
    <w:name w:val="Figure text"/>
    <w:link w:val="FiguretextChar"/>
    <w:rsid w:val="007F3BF7"/>
    <w:pPr>
      <w:spacing w:before="200" w:line="240" w:lineRule="auto"/>
    </w:pPr>
    <w:rPr>
      <w:rFonts w:ascii="Georgia" w:eastAsia="Times New Roman" w:hAnsi="Georgia" w:cs="Times New Roman"/>
      <w:i/>
      <w:sz w:val="20"/>
      <w:szCs w:val="24"/>
      <w:lang w:eastAsia="nb-NO"/>
    </w:rPr>
  </w:style>
  <w:style w:type="paragraph" w:customStyle="1" w:styleId="Referanser">
    <w:name w:val="Referanser"/>
    <w:basedOn w:val="Normal"/>
    <w:qFormat/>
    <w:rsid w:val="007F3BF7"/>
    <w:pPr>
      <w:tabs>
        <w:tab w:val="left" w:pos="510"/>
      </w:tabs>
      <w:spacing w:after="0" w:line="326" w:lineRule="atLeast"/>
      <w:ind w:left="510" w:hanging="510"/>
    </w:pPr>
    <w:rPr>
      <w:rFonts w:ascii="Georgia" w:eastAsia="Times New Roman" w:hAnsi="Georgia" w:cs="Times New Roman"/>
      <w:szCs w:val="20"/>
      <w:lang w:eastAsia="nb-NO"/>
    </w:rPr>
  </w:style>
  <w:style w:type="character" w:customStyle="1" w:styleId="BalloonTextChar1">
    <w:name w:val="Balloon Text Char1"/>
    <w:basedOn w:val="DefaultParagraphFont"/>
    <w:uiPriority w:val="99"/>
    <w:semiHidden/>
    <w:rsid w:val="007F3BF7"/>
    <w:rPr>
      <w:rFonts w:ascii="Lucida Grande" w:hAnsi="Lucida Grande"/>
      <w:sz w:val="18"/>
      <w:szCs w:val="18"/>
    </w:rPr>
  </w:style>
  <w:style w:type="paragraph" w:customStyle="1" w:styleId="Figuretextbold">
    <w:name w:val="Figure text bold"/>
    <w:basedOn w:val="Figuretext"/>
    <w:rsid w:val="007F3BF7"/>
  </w:style>
  <w:style w:type="character" w:styleId="Hyperlink">
    <w:name w:val="Hyperlink"/>
    <w:basedOn w:val="DefaultParagraphFont"/>
    <w:uiPriority w:val="99"/>
    <w:qFormat/>
    <w:rsid w:val="007F3BF7"/>
    <w:rPr>
      <w:rFonts w:ascii="Georgia" w:hAnsi="Georgia"/>
      <w:color w:val="0000FF"/>
      <w:u w:val="single"/>
    </w:rPr>
  </w:style>
  <w:style w:type="paragraph" w:customStyle="1" w:styleId="Boksoverskriftliten">
    <w:name w:val="Boks overskrift liten"/>
    <w:basedOn w:val="Normal"/>
    <w:qFormat/>
    <w:rsid w:val="007F3BF7"/>
    <w:pPr>
      <w:tabs>
        <w:tab w:val="left" w:pos="510"/>
      </w:tabs>
      <w:spacing w:after="40" w:line="326" w:lineRule="atLeast"/>
    </w:pPr>
    <w:rPr>
      <w:rFonts w:ascii="Arial Narrow" w:eastAsia="Times New Roman" w:hAnsi="Arial Narrow" w:cs="Times New Roman"/>
      <w:b/>
      <w:szCs w:val="21"/>
      <w:lang w:eastAsia="nb-NO"/>
    </w:rPr>
  </w:style>
  <w:style w:type="paragraph" w:customStyle="1" w:styleId="Footnote">
    <w:name w:val="Footnote"/>
    <w:basedOn w:val="FootnoteText"/>
    <w:rsid w:val="007F3BF7"/>
  </w:style>
  <w:style w:type="paragraph" w:customStyle="1" w:styleId="Tabletextitalic">
    <w:name w:val="Table text italic"/>
    <w:basedOn w:val="Normal"/>
    <w:rsid w:val="007F3BF7"/>
    <w:pPr>
      <w:tabs>
        <w:tab w:val="left" w:pos="510"/>
      </w:tabs>
      <w:spacing w:after="0" w:line="240" w:lineRule="auto"/>
    </w:pPr>
    <w:rPr>
      <w:rFonts w:ascii="Arial Narrow" w:eastAsia="Times New Roman" w:hAnsi="Arial Narrow" w:cs="Times New Roman"/>
      <w:i/>
      <w:noProof/>
      <w:szCs w:val="24"/>
      <w:lang w:val="nb-NO" w:eastAsia="nb-NO"/>
    </w:rPr>
  </w:style>
  <w:style w:type="paragraph" w:customStyle="1" w:styleId="Normalpictureplacement">
    <w:name w:val="Normal picture placement"/>
    <w:basedOn w:val="Normal"/>
    <w:rsid w:val="007F3BF7"/>
    <w:pPr>
      <w:tabs>
        <w:tab w:val="left" w:pos="510"/>
      </w:tabs>
      <w:spacing w:after="0" w:line="240" w:lineRule="auto"/>
    </w:pPr>
    <w:rPr>
      <w:rFonts w:ascii="Georgia" w:eastAsia="Times New Roman" w:hAnsi="Georgia" w:cs="Times New Roman"/>
      <w:noProof/>
      <w:szCs w:val="21"/>
      <w:lang w:val="nb-NO" w:eastAsia="nb-NO"/>
    </w:rPr>
  </w:style>
  <w:style w:type="paragraph" w:styleId="ListBullet">
    <w:name w:val="List Bullet"/>
    <w:basedOn w:val="Normal"/>
    <w:qFormat/>
    <w:rsid w:val="007F3BF7"/>
    <w:pPr>
      <w:numPr>
        <w:numId w:val="11"/>
      </w:numPr>
      <w:tabs>
        <w:tab w:val="left" w:pos="510"/>
      </w:tabs>
      <w:spacing w:after="0" w:line="326" w:lineRule="atLeast"/>
    </w:pPr>
    <w:rPr>
      <w:rFonts w:ascii="Georgia" w:eastAsia="Times New Roman" w:hAnsi="Georgia" w:cs="Times New Roman"/>
      <w:noProof/>
      <w:szCs w:val="21"/>
      <w:lang w:val="nb-NO" w:eastAsia="nb-NO"/>
    </w:rPr>
  </w:style>
  <w:style w:type="paragraph" w:customStyle="1" w:styleId="Footerandpagenumber">
    <w:name w:val="Footer and page number"/>
    <w:basedOn w:val="Footer"/>
    <w:rsid w:val="007F3BF7"/>
    <w:pPr>
      <w:framePr w:w="7837" w:wrap="around" w:vAnchor="text" w:hAnchor="margin" w:y="1"/>
    </w:pPr>
    <w:rPr>
      <w:noProof/>
    </w:rPr>
  </w:style>
  <w:style w:type="paragraph" w:styleId="DocumentMap">
    <w:name w:val="Document Map"/>
    <w:basedOn w:val="Normal"/>
    <w:link w:val="DocumentMapChar"/>
    <w:rsid w:val="007F3BF7"/>
    <w:pPr>
      <w:shd w:val="clear" w:color="auto" w:fill="000080"/>
      <w:tabs>
        <w:tab w:val="left" w:pos="510"/>
      </w:tabs>
      <w:spacing w:after="0" w:line="326" w:lineRule="atLeast"/>
    </w:pPr>
    <w:rPr>
      <w:rFonts w:ascii="Tahoma" w:eastAsia="Times New Roman" w:hAnsi="Tahoma" w:cs="Tahoma"/>
      <w:szCs w:val="20"/>
      <w:lang w:val="nb-NO" w:eastAsia="nb-NO"/>
    </w:rPr>
  </w:style>
  <w:style w:type="character" w:customStyle="1" w:styleId="DocumentMapChar">
    <w:name w:val="Document Map Char"/>
    <w:basedOn w:val="DefaultParagraphFont"/>
    <w:link w:val="DocumentMap"/>
    <w:rsid w:val="007F3BF7"/>
    <w:rPr>
      <w:rFonts w:ascii="Tahoma" w:eastAsia="Times New Roman" w:hAnsi="Tahoma" w:cs="Tahoma"/>
      <w:szCs w:val="20"/>
      <w:shd w:val="clear" w:color="auto" w:fill="000080"/>
      <w:lang w:val="nb-NO" w:eastAsia="nb-NO"/>
    </w:rPr>
  </w:style>
  <w:style w:type="paragraph" w:styleId="TableofFigures">
    <w:name w:val="table of figures"/>
    <w:basedOn w:val="Normal"/>
    <w:next w:val="Normal"/>
    <w:semiHidden/>
    <w:rsid w:val="007F3BF7"/>
    <w:pPr>
      <w:spacing w:after="0" w:line="326" w:lineRule="atLeast"/>
    </w:pPr>
    <w:rPr>
      <w:rFonts w:ascii="Georgia" w:eastAsia="Times New Roman" w:hAnsi="Georgia" w:cs="Times New Roman"/>
      <w:szCs w:val="21"/>
      <w:lang w:val="nb-NO" w:eastAsia="nb-NO"/>
    </w:rPr>
  </w:style>
  <w:style w:type="paragraph" w:styleId="Index4">
    <w:name w:val="index 4"/>
    <w:basedOn w:val="Normal"/>
    <w:next w:val="Normal"/>
    <w:autoRedefine/>
    <w:semiHidden/>
    <w:rsid w:val="007F3BF7"/>
    <w:pPr>
      <w:spacing w:after="0" w:line="326" w:lineRule="atLeast"/>
      <w:ind w:left="800" w:hanging="200"/>
    </w:pPr>
    <w:rPr>
      <w:rFonts w:ascii="Georgia" w:eastAsia="Times New Roman" w:hAnsi="Georgia" w:cs="Times New Roman"/>
      <w:szCs w:val="21"/>
      <w:lang w:val="nb-NO" w:eastAsia="nb-NO"/>
    </w:rPr>
  </w:style>
  <w:style w:type="paragraph" w:styleId="FootnoteText">
    <w:name w:val="footnote text"/>
    <w:basedOn w:val="Normal"/>
    <w:link w:val="FootnoteTextChar"/>
    <w:qFormat/>
    <w:rsid w:val="007F3BF7"/>
    <w:pPr>
      <w:spacing w:after="0" w:line="240" w:lineRule="exact"/>
    </w:pPr>
    <w:rPr>
      <w:rFonts w:ascii="Georgia" w:eastAsia="Times New Roman" w:hAnsi="Georgia" w:cs="Times New Roman"/>
      <w:sz w:val="18"/>
      <w:szCs w:val="20"/>
      <w:lang w:eastAsia="nb-NO"/>
    </w:rPr>
  </w:style>
  <w:style w:type="character" w:customStyle="1" w:styleId="FootnoteTextChar">
    <w:name w:val="Footnote Text Char"/>
    <w:basedOn w:val="DefaultParagraphFont"/>
    <w:link w:val="FootnoteText"/>
    <w:rsid w:val="007F3BF7"/>
    <w:rPr>
      <w:rFonts w:ascii="Georgia" w:eastAsia="Times New Roman" w:hAnsi="Georgia" w:cs="Times New Roman"/>
      <w:sz w:val="18"/>
      <w:szCs w:val="20"/>
      <w:lang w:eastAsia="nb-NO"/>
    </w:rPr>
  </w:style>
  <w:style w:type="character" w:styleId="FootnoteReference">
    <w:name w:val="footnote reference"/>
    <w:basedOn w:val="DefaultParagraphFont"/>
    <w:rsid w:val="007F3BF7"/>
    <w:rPr>
      <w:vertAlign w:val="superscript"/>
    </w:rPr>
  </w:style>
  <w:style w:type="paragraph" w:styleId="Index5">
    <w:name w:val="index 5"/>
    <w:basedOn w:val="Normal"/>
    <w:next w:val="Normal"/>
    <w:autoRedefine/>
    <w:semiHidden/>
    <w:rsid w:val="007F3BF7"/>
    <w:pPr>
      <w:spacing w:after="0" w:line="326" w:lineRule="atLeast"/>
      <w:ind w:left="1000" w:hanging="200"/>
    </w:pPr>
    <w:rPr>
      <w:rFonts w:ascii="Georgia" w:eastAsia="Times New Roman" w:hAnsi="Georgia" w:cs="Times New Roman"/>
      <w:szCs w:val="21"/>
      <w:lang w:val="nb-NO" w:eastAsia="nb-NO"/>
    </w:rPr>
  </w:style>
  <w:style w:type="paragraph" w:styleId="Index6">
    <w:name w:val="index 6"/>
    <w:basedOn w:val="Normal"/>
    <w:next w:val="Normal"/>
    <w:autoRedefine/>
    <w:semiHidden/>
    <w:rsid w:val="007F3BF7"/>
    <w:pPr>
      <w:spacing w:after="0" w:line="326" w:lineRule="atLeast"/>
      <w:ind w:left="1200" w:hanging="200"/>
    </w:pPr>
    <w:rPr>
      <w:rFonts w:ascii="Georgia" w:eastAsia="Times New Roman" w:hAnsi="Georgia" w:cs="Times New Roman"/>
      <w:szCs w:val="21"/>
      <w:lang w:val="nb-NO" w:eastAsia="nb-NO"/>
    </w:rPr>
  </w:style>
  <w:style w:type="paragraph" w:styleId="Index7">
    <w:name w:val="index 7"/>
    <w:basedOn w:val="Normal"/>
    <w:next w:val="Normal"/>
    <w:autoRedefine/>
    <w:semiHidden/>
    <w:rsid w:val="007F3BF7"/>
    <w:pPr>
      <w:spacing w:after="0" w:line="326" w:lineRule="atLeast"/>
      <w:ind w:left="1400" w:hanging="200"/>
    </w:pPr>
    <w:rPr>
      <w:rFonts w:ascii="Georgia" w:eastAsia="Times New Roman" w:hAnsi="Georgia" w:cs="Times New Roman"/>
      <w:szCs w:val="21"/>
      <w:lang w:val="nb-NO" w:eastAsia="nb-NO"/>
    </w:rPr>
  </w:style>
  <w:style w:type="paragraph" w:styleId="Index8">
    <w:name w:val="index 8"/>
    <w:basedOn w:val="Normal"/>
    <w:next w:val="Normal"/>
    <w:autoRedefine/>
    <w:semiHidden/>
    <w:rsid w:val="007F3BF7"/>
    <w:pPr>
      <w:spacing w:after="0" w:line="326" w:lineRule="atLeast"/>
      <w:ind w:left="1600" w:hanging="200"/>
    </w:pPr>
    <w:rPr>
      <w:rFonts w:ascii="Georgia" w:eastAsia="Times New Roman" w:hAnsi="Georgia" w:cs="Times New Roman"/>
      <w:szCs w:val="21"/>
      <w:lang w:val="nb-NO" w:eastAsia="nb-NO"/>
    </w:rPr>
  </w:style>
  <w:style w:type="paragraph" w:styleId="Index9">
    <w:name w:val="index 9"/>
    <w:basedOn w:val="Normal"/>
    <w:next w:val="Normal"/>
    <w:autoRedefine/>
    <w:semiHidden/>
    <w:rsid w:val="007F3BF7"/>
    <w:pPr>
      <w:spacing w:after="0" w:line="326" w:lineRule="atLeast"/>
      <w:ind w:left="1800" w:hanging="200"/>
    </w:pPr>
    <w:rPr>
      <w:rFonts w:ascii="Georgia" w:eastAsia="Times New Roman" w:hAnsi="Georgia" w:cs="Times New Roman"/>
      <w:szCs w:val="21"/>
      <w:lang w:val="nb-NO" w:eastAsia="nb-NO"/>
    </w:rPr>
  </w:style>
  <w:style w:type="paragraph" w:styleId="TableofAuthorities">
    <w:name w:val="table of authorities"/>
    <w:basedOn w:val="Normal"/>
    <w:next w:val="Normal"/>
    <w:semiHidden/>
    <w:rsid w:val="007F3BF7"/>
    <w:pPr>
      <w:spacing w:after="0" w:line="326" w:lineRule="atLeast"/>
      <w:ind w:left="200" w:hanging="200"/>
    </w:pPr>
    <w:rPr>
      <w:rFonts w:ascii="Georgia" w:eastAsia="Times New Roman" w:hAnsi="Georgia" w:cs="Times New Roman"/>
      <w:szCs w:val="21"/>
      <w:lang w:val="nb-NO" w:eastAsia="nb-NO"/>
    </w:rPr>
  </w:style>
  <w:style w:type="paragraph" w:styleId="TOAHeading">
    <w:name w:val="toa heading"/>
    <w:basedOn w:val="Normal"/>
    <w:next w:val="Normal"/>
    <w:semiHidden/>
    <w:rsid w:val="007F3BF7"/>
    <w:pPr>
      <w:tabs>
        <w:tab w:val="left" w:pos="510"/>
      </w:tabs>
      <w:spacing w:before="120" w:after="0" w:line="326" w:lineRule="atLeast"/>
    </w:pPr>
    <w:rPr>
      <w:rFonts w:ascii="Arial" w:eastAsia="Times New Roman" w:hAnsi="Arial" w:cs="Arial"/>
      <w:b/>
      <w:bCs/>
      <w:sz w:val="24"/>
      <w:szCs w:val="21"/>
      <w:lang w:val="nb-NO" w:eastAsia="nb-NO"/>
    </w:rPr>
  </w:style>
  <w:style w:type="paragraph" w:styleId="MacroText">
    <w:name w:val="macro"/>
    <w:link w:val="MacroTextChar"/>
    <w:semiHidden/>
    <w:rsid w:val="007F3BF7"/>
    <w:pPr>
      <w:tabs>
        <w:tab w:val="left" w:pos="480"/>
        <w:tab w:val="left" w:pos="960"/>
        <w:tab w:val="left" w:pos="1440"/>
        <w:tab w:val="left" w:pos="1920"/>
        <w:tab w:val="left" w:pos="2400"/>
        <w:tab w:val="left" w:pos="2880"/>
        <w:tab w:val="left" w:pos="3360"/>
        <w:tab w:val="left" w:pos="3840"/>
        <w:tab w:val="left" w:pos="4320"/>
      </w:tabs>
      <w:spacing w:after="0" w:line="300" w:lineRule="exact"/>
    </w:pPr>
    <w:rPr>
      <w:rFonts w:ascii="Courier New" w:eastAsia="Times New Roman" w:hAnsi="Courier New" w:cs="Courier New"/>
      <w:sz w:val="20"/>
      <w:szCs w:val="20"/>
      <w:lang w:val="nb-NO" w:eastAsia="nb-NO"/>
    </w:rPr>
  </w:style>
  <w:style w:type="character" w:customStyle="1" w:styleId="MacroTextChar">
    <w:name w:val="Macro Text Char"/>
    <w:basedOn w:val="DefaultParagraphFont"/>
    <w:link w:val="MacroText"/>
    <w:semiHidden/>
    <w:rsid w:val="007F3BF7"/>
    <w:rPr>
      <w:rFonts w:ascii="Courier New" w:eastAsia="Times New Roman" w:hAnsi="Courier New" w:cs="Courier New"/>
      <w:sz w:val="20"/>
      <w:szCs w:val="20"/>
      <w:lang w:val="nb-NO" w:eastAsia="nb-NO"/>
    </w:rPr>
  </w:style>
  <w:style w:type="character" w:styleId="EndnoteReference">
    <w:name w:val="endnote reference"/>
    <w:basedOn w:val="DefaultParagraphFont"/>
    <w:semiHidden/>
    <w:rsid w:val="007F3BF7"/>
    <w:rPr>
      <w:vertAlign w:val="superscript"/>
    </w:rPr>
  </w:style>
  <w:style w:type="paragraph" w:styleId="EndnoteText">
    <w:name w:val="endnote text"/>
    <w:basedOn w:val="Normal"/>
    <w:link w:val="EndnoteTextChar"/>
    <w:semiHidden/>
    <w:rsid w:val="007F3BF7"/>
    <w:pPr>
      <w:tabs>
        <w:tab w:val="left" w:pos="510"/>
      </w:tabs>
      <w:spacing w:after="0" w:line="326" w:lineRule="atLeast"/>
    </w:pPr>
    <w:rPr>
      <w:rFonts w:ascii="Georgia" w:eastAsia="Times New Roman" w:hAnsi="Georgia" w:cs="Times New Roman"/>
      <w:szCs w:val="20"/>
      <w:lang w:val="nb-NO" w:eastAsia="nb-NO"/>
    </w:rPr>
  </w:style>
  <w:style w:type="character" w:customStyle="1" w:styleId="EndnoteTextChar">
    <w:name w:val="Endnote Text Char"/>
    <w:basedOn w:val="DefaultParagraphFont"/>
    <w:link w:val="EndnoteText"/>
    <w:semiHidden/>
    <w:rsid w:val="007F3BF7"/>
    <w:rPr>
      <w:rFonts w:ascii="Georgia" w:eastAsia="Times New Roman" w:hAnsi="Georgia" w:cs="Times New Roman"/>
      <w:szCs w:val="20"/>
      <w:lang w:val="nb-NO" w:eastAsia="nb-NO"/>
    </w:rPr>
  </w:style>
  <w:style w:type="paragraph" w:styleId="Index1">
    <w:name w:val="index 1"/>
    <w:basedOn w:val="Normal"/>
    <w:next w:val="Normal"/>
    <w:autoRedefine/>
    <w:semiHidden/>
    <w:unhideWhenUsed/>
    <w:rsid w:val="007F3BF7"/>
    <w:pPr>
      <w:spacing w:after="0" w:line="240" w:lineRule="auto"/>
      <w:ind w:left="220" w:hanging="220"/>
    </w:pPr>
  </w:style>
  <w:style w:type="paragraph" w:styleId="IndexHeading">
    <w:name w:val="index heading"/>
    <w:basedOn w:val="Normal"/>
    <w:next w:val="Index1"/>
    <w:semiHidden/>
    <w:rsid w:val="007F3BF7"/>
    <w:pPr>
      <w:tabs>
        <w:tab w:val="left" w:pos="510"/>
      </w:tabs>
      <w:spacing w:after="0" w:line="326" w:lineRule="atLeast"/>
    </w:pPr>
    <w:rPr>
      <w:rFonts w:ascii="Arial" w:eastAsia="Times New Roman" w:hAnsi="Arial" w:cs="Arial"/>
      <w:b/>
      <w:bCs/>
      <w:szCs w:val="21"/>
      <w:lang w:val="nb-NO" w:eastAsia="nb-NO"/>
    </w:rPr>
  </w:style>
  <w:style w:type="paragraph" w:customStyle="1" w:styleId="Literaturereferences">
    <w:name w:val="Literature references"/>
    <w:basedOn w:val="Normal"/>
    <w:semiHidden/>
    <w:rsid w:val="007F3BF7"/>
    <w:pPr>
      <w:numPr>
        <w:numId w:val="9"/>
      </w:numPr>
      <w:tabs>
        <w:tab w:val="left" w:pos="340"/>
        <w:tab w:val="left" w:pos="510"/>
      </w:tabs>
      <w:spacing w:after="0" w:line="326" w:lineRule="atLeast"/>
      <w:ind w:left="340"/>
    </w:pPr>
    <w:rPr>
      <w:rFonts w:ascii="Georgia" w:eastAsia="Times New Roman" w:hAnsi="Georgia" w:cs="Times New Roman"/>
      <w:szCs w:val="21"/>
      <w:lang w:eastAsia="nb-NO"/>
    </w:rPr>
  </w:style>
  <w:style w:type="paragraph" w:styleId="TOC4">
    <w:name w:val="toc 4"/>
    <w:basedOn w:val="Normal"/>
    <w:next w:val="Normal"/>
    <w:autoRedefine/>
    <w:uiPriority w:val="39"/>
    <w:semiHidden/>
    <w:rsid w:val="007F3BF7"/>
    <w:pPr>
      <w:spacing w:after="0" w:line="326" w:lineRule="atLeast"/>
      <w:ind w:left="600"/>
    </w:pPr>
    <w:rPr>
      <w:rFonts w:ascii="Georgia" w:eastAsia="Times New Roman" w:hAnsi="Georgia" w:cs="Times New Roman"/>
      <w:i/>
      <w:szCs w:val="21"/>
      <w:lang w:val="nb-NO" w:eastAsia="nb-NO"/>
    </w:rPr>
  </w:style>
  <w:style w:type="paragraph" w:styleId="Index2">
    <w:name w:val="index 2"/>
    <w:basedOn w:val="Normal"/>
    <w:next w:val="Normal"/>
    <w:semiHidden/>
    <w:rsid w:val="007F3BF7"/>
    <w:pPr>
      <w:tabs>
        <w:tab w:val="right" w:pos="7938"/>
      </w:tabs>
      <w:spacing w:after="0" w:line="326" w:lineRule="atLeast"/>
      <w:ind w:left="199" w:hanging="199"/>
    </w:pPr>
    <w:rPr>
      <w:rFonts w:ascii="Georgia" w:eastAsia="Times New Roman" w:hAnsi="Georgia" w:cs="Times New Roman"/>
      <w:szCs w:val="21"/>
      <w:lang w:eastAsia="nb-NO"/>
    </w:rPr>
  </w:style>
  <w:style w:type="paragraph" w:styleId="Index3">
    <w:name w:val="index 3"/>
    <w:basedOn w:val="Normal"/>
    <w:next w:val="Normal"/>
    <w:semiHidden/>
    <w:rsid w:val="007F3BF7"/>
    <w:pPr>
      <w:tabs>
        <w:tab w:val="right" w:pos="7938"/>
      </w:tabs>
      <w:spacing w:after="0" w:line="326" w:lineRule="atLeast"/>
      <w:ind w:left="398" w:hanging="199"/>
    </w:pPr>
    <w:rPr>
      <w:rFonts w:ascii="Georgia" w:eastAsia="Times New Roman" w:hAnsi="Georgia" w:cs="Times New Roman"/>
      <w:i/>
      <w:szCs w:val="21"/>
      <w:lang w:eastAsia="nb-NO"/>
    </w:rPr>
  </w:style>
  <w:style w:type="paragraph" w:styleId="TOC1">
    <w:name w:val="toc 1"/>
    <w:basedOn w:val="Normal"/>
    <w:next w:val="Normal"/>
    <w:uiPriority w:val="39"/>
    <w:qFormat/>
    <w:rsid w:val="007F3BF7"/>
    <w:pPr>
      <w:tabs>
        <w:tab w:val="left" w:pos="284"/>
        <w:tab w:val="right" w:pos="8222"/>
      </w:tabs>
      <w:spacing w:before="200" w:after="0" w:line="326" w:lineRule="atLeast"/>
    </w:pPr>
    <w:rPr>
      <w:rFonts w:ascii="Georgia" w:eastAsia="Times New Roman" w:hAnsi="Georgia" w:cs="Times New Roman"/>
      <w:b/>
      <w:caps/>
      <w:spacing w:val="10"/>
      <w:szCs w:val="21"/>
      <w:lang w:eastAsia="nb-NO"/>
    </w:rPr>
  </w:style>
  <w:style w:type="paragraph" w:styleId="TOC3">
    <w:name w:val="toc 3"/>
    <w:basedOn w:val="Normal"/>
    <w:next w:val="Normal"/>
    <w:uiPriority w:val="39"/>
    <w:rsid w:val="007F3BF7"/>
    <w:pPr>
      <w:tabs>
        <w:tab w:val="left" w:pos="510"/>
        <w:tab w:val="left" w:pos="1191"/>
        <w:tab w:val="right" w:pos="8222"/>
      </w:tabs>
      <w:spacing w:after="0" w:line="326" w:lineRule="atLeast"/>
      <w:ind w:left="284" w:firstLine="284"/>
    </w:pPr>
    <w:rPr>
      <w:rFonts w:ascii="Georgia" w:eastAsia="Times New Roman" w:hAnsi="Georgia" w:cs="Times New Roman"/>
      <w:szCs w:val="21"/>
      <w:lang w:val="nb-NO" w:eastAsia="nb-NO"/>
    </w:rPr>
  </w:style>
  <w:style w:type="paragraph" w:styleId="TOC2">
    <w:name w:val="toc 2"/>
    <w:basedOn w:val="Normal"/>
    <w:next w:val="Normal"/>
    <w:uiPriority w:val="39"/>
    <w:rsid w:val="007F3BF7"/>
    <w:pPr>
      <w:tabs>
        <w:tab w:val="left" w:pos="510"/>
        <w:tab w:val="right" w:pos="8222"/>
      </w:tabs>
      <w:spacing w:after="0" w:line="326" w:lineRule="atLeast"/>
    </w:pPr>
    <w:rPr>
      <w:rFonts w:ascii="Georgia" w:eastAsia="Times New Roman" w:hAnsi="Georgia" w:cs="Times New Roman"/>
      <w:szCs w:val="21"/>
      <w:lang w:val="nb-NO" w:eastAsia="nb-NO"/>
    </w:rPr>
  </w:style>
  <w:style w:type="paragraph" w:styleId="TOC5">
    <w:name w:val="toc 5"/>
    <w:basedOn w:val="Normal"/>
    <w:next w:val="Normal"/>
    <w:autoRedefine/>
    <w:uiPriority w:val="39"/>
    <w:semiHidden/>
    <w:rsid w:val="007F3BF7"/>
    <w:pPr>
      <w:spacing w:after="0" w:line="326" w:lineRule="atLeast"/>
      <w:ind w:left="800"/>
    </w:pPr>
    <w:rPr>
      <w:rFonts w:ascii="Georgia" w:eastAsia="Times New Roman" w:hAnsi="Georgia" w:cs="Times New Roman"/>
      <w:szCs w:val="21"/>
      <w:lang w:val="nb-NO" w:eastAsia="nb-NO"/>
    </w:rPr>
  </w:style>
  <w:style w:type="paragraph" w:styleId="TOC6">
    <w:name w:val="toc 6"/>
    <w:basedOn w:val="Normal"/>
    <w:next w:val="Normal"/>
    <w:autoRedefine/>
    <w:uiPriority w:val="39"/>
    <w:semiHidden/>
    <w:rsid w:val="007F3BF7"/>
    <w:pPr>
      <w:spacing w:after="0" w:line="326" w:lineRule="atLeast"/>
      <w:ind w:left="1000"/>
    </w:pPr>
    <w:rPr>
      <w:rFonts w:ascii="Georgia" w:eastAsia="Times New Roman" w:hAnsi="Georgia" w:cs="Times New Roman"/>
      <w:szCs w:val="21"/>
      <w:lang w:val="nb-NO" w:eastAsia="nb-NO"/>
    </w:rPr>
  </w:style>
  <w:style w:type="paragraph" w:styleId="TOC7">
    <w:name w:val="toc 7"/>
    <w:basedOn w:val="Normal"/>
    <w:next w:val="Normal"/>
    <w:autoRedefine/>
    <w:uiPriority w:val="39"/>
    <w:semiHidden/>
    <w:rsid w:val="007F3BF7"/>
    <w:pPr>
      <w:spacing w:after="0" w:line="326" w:lineRule="atLeast"/>
      <w:ind w:left="1200"/>
    </w:pPr>
    <w:rPr>
      <w:rFonts w:ascii="Georgia" w:eastAsia="Times New Roman" w:hAnsi="Georgia" w:cs="Times New Roman"/>
      <w:szCs w:val="21"/>
      <w:lang w:val="nb-NO" w:eastAsia="nb-NO"/>
    </w:rPr>
  </w:style>
  <w:style w:type="paragraph" w:styleId="TOC8">
    <w:name w:val="toc 8"/>
    <w:basedOn w:val="Normal"/>
    <w:next w:val="Normal"/>
    <w:autoRedefine/>
    <w:uiPriority w:val="39"/>
    <w:semiHidden/>
    <w:rsid w:val="007F3BF7"/>
    <w:pPr>
      <w:spacing w:after="0" w:line="326" w:lineRule="atLeast"/>
      <w:ind w:left="1400"/>
    </w:pPr>
    <w:rPr>
      <w:rFonts w:ascii="Georgia" w:eastAsia="Times New Roman" w:hAnsi="Georgia" w:cs="Times New Roman"/>
      <w:szCs w:val="21"/>
      <w:lang w:val="nb-NO" w:eastAsia="nb-NO"/>
    </w:rPr>
  </w:style>
  <w:style w:type="paragraph" w:styleId="TOC9">
    <w:name w:val="toc 9"/>
    <w:basedOn w:val="Normal"/>
    <w:next w:val="Normal"/>
    <w:autoRedefine/>
    <w:uiPriority w:val="39"/>
    <w:semiHidden/>
    <w:rsid w:val="007F3BF7"/>
    <w:pPr>
      <w:spacing w:after="0" w:line="326" w:lineRule="atLeast"/>
      <w:ind w:left="1600"/>
    </w:pPr>
    <w:rPr>
      <w:rFonts w:ascii="Georgia" w:eastAsia="Times New Roman" w:hAnsi="Georgia" w:cs="Times New Roman"/>
      <w:szCs w:val="21"/>
      <w:lang w:val="nb-NO" w:eastAsia="nb-NO"/>
    </w:rPr>
  </w:style>
  <w:style w:type="numbering" w:styleId="111111">
    <w:name w:val="Outline List 2"/>
    <w:basedOn w:val="NoList"/>
    <w:semiHidden/>
    <w:rsid w:val="007F3BF7"/>
  </w:style>
  <w:style w:type="numbering" w:styleId="1ai">
    <w:name w:val="Outline List 1"/>
    <w:basedOn w:val="NoList"/>
    <w:semiHidden/>
    <w:rsid w:val="007F3BF7"/>
  </w:style>
  <w:style w:type="character" w:customStyle="1" w:styleId="FiguretextChar">
    <w:name w:val="Figure text Char"/>
    <w:basedOn w:val="DefaultParagraphFont"/>
    <w:link w:val="Figuretext"/>
    <w:rsid w:val="007F3BF7"/>
    <w:rPr>
      <w:rFonts w:ascii="Georgia" w:eastAsia="Times New Roman" w:hAnsi="Georgia" w:cs="Times New Roman"/>
      <w:i/>
      <w:sz w:val="20"/>
      <w:szCs w:val="24"/>
      <w:lang w:eastAsia="nb-NO"/>
    </w:rPr>
  </w:style>
  <w:style w:type="paragraph" w:styleId="EnvelopeReturn">
    <w:name w:val="envelope return"/>
    <w:basedOn w:val="Normal"/>
    <w:semiHidden/>
    <w:rsid w:val="007F3BF7"/>
    <w:pPr>
      <w:tabs>
        <w:tab w:val="left" w:pos="510"/>
      </w:tabs>
      <w:spacing w:after="0" w:line="326" w:lineRule="atLeast"/>
    </w:pPr>
    <w:rPr>
      <w:rFonts w:ascii="Arial" w:eastAsia="Times New Roman" w:hAnsi="Arial" w:cs="Arial"/>
      <w:szCs w:val="20"/>
      <w:lang w:val="nb-NO" w:eastAsia="nb-NO"/>
    </w:rPr>
  </w:style>
  <w:style w:type="paragraph" w:customStyle="1" w:styleId="IntroOverskriftnoTOC">
    <w:name w:val="Intro Overskrift (no TOC)"/>
    <w:basedOn w:val="Normal"/>
    <w:rsid w:val="007F3BF7"/>
    <w:pPr>
      <w:tabs>
        <w:tab w:val="left" w:pos="510"/>
      </w:tabs>
      <w:spacing w:after="0" w:line="240" w:lineRule="auto"/>
    </w:pPr>
    <w:rPr>
      <w:rFonts w:ascii="Georgia" w:eastAsia="Times New Roman" w:hAnsi="Georgia" w:cs="Times New Roman"/>
      <w:b/>
      <w:noProof/>
      <w:sz w:val="36"/>
      <w:szCs w:val="21"/>
      <w:lang w:val="nb-NO" w:eastAsia="nb-NO"/>
    </w:rPr>
  </w:style>
  <w:style w:type="paragraph" w:styleId="BlockText">
    <w:name w:val="Block Text"/>
    <w:basedOn w:val="Normal"/>
    <w:semiHidden/>
    <w:rsid w:val="007F3BF7"/>
    <w:pPr>
      <w:tabs>
        <w:tab w:val="left" w:pos="510"/>
      </w:tabs>
      <w:spacing w:after="120" w:line="326" w:lineRule="atLeast"/>
      <w:ind w:left="1440" w:right="1440"/>
    </w:pPr>
    <w:rPr>
      <w:rFonts w:ascii="Georgia" w:eastAsia="Times New Roman" w:hAnsi="Georgia" w:cs="Times New Roman"/>
      <w:szCs w:val="21"/>
      <w:lang w:val="nb-NO" w:eastAsia="nb-NO"/>
    </w:rPr>
  </w:style>
  <w:style w:type="paragraph" w:styleId="BodyText">
    <w:name w:val="Body Text"/>
    <w:basedOn w:val="Normal"/>
    <w:link w:val="BodyTextChar"/>
    <w:semiHidden/>
    <w:rsid w:val="007F3BF7"/>
    <w:pPr>
      <w:tabs>
        <w:tab w:val="left" w:pos="510"/>
      </w:tabs>
      <w:spacing w:after="120" w:line="326" w:lineRule="atLeast"/>
    </w:pPr>
    <w:rPr>
      <w:rFonts w:ascii="Georgia" w:eastAsia="Times New Roman" w:hAnsi="Georgia" w:cs="Times New Roman"/>
      <w:szCs w:val="21"/>
      <w:lang w:val="nb-NO" w:eastAsia="nb-NO"/>
    </w:rPr>
  </w:style>
  <w:style w:type="character" w:customStyle="1" w:styleId="BodyTextChar">
    <w:name w:val="Body Text Char"/>
    <w:basedOn w:val="DefaultParagraphFont"/>
    <w:link w:val="BodyText"/>
    <w:semiHidden/>
    <w:rsid w:val="007F3BF7"/>
    <w:rPr>
      <w:rFonts w:ascii="Georgia" w:eastAsia="Times New Roman" w:hAnsi="Georgia" w:cs="Times New Roman"/>
      <w:szCs w:val="21"/>
      <w:lang w:val="nb-NO" w:eastAsia="nb-NO"/>
    </w:rPr>
  </w:style>
  <w:style w:type="paragraph" w:styleId="BodyTextFirstIndent">
    <w:name w:val="Body Text First Indent"/>
    <w:basedOn w:val="BodyText"/>
    <w:link w:val="BodyTextFirstIndentChar"/>
    <w:semiHidden/>
    <w:rsid w:val="007F3BF7"/>
    <w:pPr>
      <w:ind w:firstLine="210"/>
    </w:pPr>
  </w:style>
  <w:style w:type="character" w:customStyle="1" w:styleId="BodyTextFirstIndentChar">
    <w:name w:val="Body Text First Indent Char"/>
    <w:basedOn w:val="BodyTextChar"/>
    <w:link w:val="BodyTextFirstIndent"/>
    <w:semiHidden/>
    <w:rsid w:val="007F3BF7"/>
    <w:rPr>
      <w:rFonts w:ascii="Georgia" w:eastAsia="Times New Roman" w:hAnsi="Georgia" w:cs="Times New Roman"/>
      <w:szCs w:val="21"/>
      <w:lang w:val="nb-NO" w:eastAsia="nb-NO"/>
    </w:rPr>
  </w:style>
  <w:style w:type="paragraph" w:styleId="BodyTextIndent">
    <w:name w:val="Body Text Indent"/>
    <w:basedOn w:val="Normal"/>
    <w:link w:val="BodyTextIndentChar"/>
    <w:semiHidden/>
    <w:rsid w:val="007F3BF7"/>
    <w:pPr>
      <w:tabs>
        <w:tab w:val="left" w:pos="510"/>
      </w:tabs>
      <w:spacing w:after="120" w:line="326" w:lineRule="atLeast"/>
      <w:ind w:left="283"/>
    </w:pPr>
    <w:rPr>
      <w:rFonts w:ascii="Georgia" w:eastAsia="Times New Roman" w:hAnsi="Georgia" w:cs="Times New Roman"/>
      <w:szCs w:val="21"/>
      <w:lang w:val="nb-NO" w:eastAsia="nb-NO"/>
    </w:rPr>
  </w:style>
  <w:style w:type="character" w:customStyle="1" w:styleId="BodyTextIndentChar">
    <w:name w:val="Body Text Indent Char"/>
    <w:basedOn w:val="DefaultParagraphFont"/>
    <w:link w:val="BodyTextIndent"/>
    <w:semiHidden/>
    <w:rsid w:val="007F3BF7"/>
    <w:rPr>
      <w:rFonts w:ascii="Georgia" w:eastAsia="Times New Roman" w:hAnsi="Georgia" w:cs="Times New Roman"/>
      <w:szCs w:val="21"/>
      <w:lang w:val="nb-NO" w:eastAsia="nb-NO"/>
    </w:rPr>
  </w:style>
  <w:style w:type="paragraph" w:styleId="BodyTextFirstIndent2">
    <w:name w:val="Body Text First Indent 2"/>
    <w:basedOn w:val="BodyTextIndent"/>
    <w:link w:val="BodyTextFirstIndent2Char"/>
    <w:semiHidden/>
    <w:rsid w:val="007F3BF7"/>
    <w:pPr>
      <w:ind w:firstLine="210"/>
    </w:pPr>
  </w:style>
  <w:style w:type="character" w:customStyle="1" w:styleId="BodyTextFirstIndent2Char">
    <w:name w:val="Body Text First Indent 2 Char"/>
    <w:basedOn w:val="BodyTextIndentChar"/>
    <w:link w:val="BodyTextFirstIndent2"/>
    <w:semiHidden/>
    <w:rsid w:val="007F3BF7"/>
    <w:rPr>
      <w:rFonts w:ascii="Georgia" w:eastAsia="Times New Roman" w:hAnsi="Georgia" w:cs="Times New Roman"/>
      <w:szCs w:val="21"/>
      <w:lang w:val="nb-NO" w:eastAsia="nb-NO"/>
    </w:rPr>
  </w:style>
  <w:style w:type="paragraph" w:styleId="BodyText2">
    <w:name w:val="Body Text 2"/>
    <w:basedOn w:val="Normal"/>
    <w:link w:val="BodyText2Char"/>
    <w:semiHidden/>
    <w:rsid w:val="007F3BF7"/>
    <w:pPr>
      <w:tabs>
        <w:tab w:val="left" w:pos="510"/>
      </w:tabs>
      <w:spacing w:after="120" w:line="480" w:lineRule="auto"/>
    </w:pPr>
    <w:rPr>
      <w:rFonts w:ascii="Georgia" w:eastAsia="Times New Roman" w:hAnsi="Georgia" w:cs="Times New Roman"/>
      <w:szCs w:val="21"/>
      <w:lang w:val="nb-NO" w:eastAsia="nb-NO"/>
    </w:rPr>
  </w:style>
  <w:style w:type="character" w:customStyle="1" w:styleId="BodyText2Char">
    <w:name w:val="Body Text 2 Char"/>
    <w:basedOn w:val="DefaultParagraphFont"/>
    <w:link w:val="BodyText2"/>
    <w:semiHidden/>
    <w:rsid w:val="007F3BF7"/>
    <w:rPr>
      <w:rFonts w:ascii="Georgia" w:eastAsia="Times New Roman" w:hAnsi="Georgia" w:cs="Times New Roman"/>
      <w:szCs w:val="21"/>
      <w:lang w:val="nb-NO" w:eastAsia="nb-NO"/>
    </w:rPr>
  </w:style>
  <w:style w:type="paragraph" w:styleId="BodyText3">
    <w:name w:val="Body Text 3"/>
    <w:basedOn w:val="Normal"/>
    <w:link w:val="BodyText3Char"/>
    <w:semiHidden/>
    <w:rsid w:val="007F3BF7"/>
    <w:pPr>
      <w:tabs>
        <w:tab w:val="left" w:pos="510"/>
      </w:tabs>
      <w:spacing w:after="120" w:line="326" w:lineRule="atLeast"/>
    </w:pPr>
    <w:rPr>
      <w:rFonts w:ascii="Georgia" w:eastAsia="Times New Roman" w:hAnsi="Georgia" w:cs="Times New Roman"/>
      <w:sz w:val="16"/>
      <w:szCs w:val="16"/>
      <w:lang w:val="nb-NO" w:eastAsia="nb-NO"/>
    </w:rPr>
  </w:style>
  <w:style w:type="character" w:customStyle="1" w:styleId="BodyText3Char">
    <w:name w:val="Body Text 3 Char"/>
    <w:basedOn w:val="DefaultParagraphFont"/>
    <w:link w:val="BodyText3"/>
    <w:semiHidden/>
    <w:rsid w:val="007F3BF7"/>
    <w:rPr>
      <w:rFonts w:ascii="Georgia" w:eastAsia="Times New Roman" w:hAnsi="Georgia" w:cs="Times New Roman"/>
      <w:sz w:val="16"/>
      <w:szCs w:val="16"/>
      <w:lang w:val="nb-NO" w:eastAsia="nb-NO"/>
    </w:rPr>
  </w:style>
  <w:style w:type="paragraph" w:styleId="BodyTextIndent2">
    <w:name w:val="Body Text Indent 2"/>
    <w:basedOn w:val="Normal"/>
    <w:link w:val="BodyTextIndent2Char"/>
    <w:semiHidden/>
    <w:rsid w:val="007F3BF7"/>
    <w:pPr>
      <w:tabs>
        <w:tab w:val="left" w:pos="510"/>
      </w:tabs>
      <w:spacing w:after="120" w:line="480" w:lineRule="auto"/>
      <w:ind w:left="283"/>
    </w:pPr>
    <w:rPr>
      <w:rFonts w:ascii="Georgia" w:eastAsia="Times New Roman" w:hAnsi="Georgia" w:cs="Times New Roman"/>
      <w:szCs w:val="21"/>
      <w:lang w:val="nb-NO" w:eastAsia="nb-NO"/>
    </w:rPr>
  </w:style>
  <w:style w:type="character" w:customStyle="1" w:styleId="BodyTextIndent2Char">
    <w:name w:val="Body Text Indent 2 Char"/>
    <w:basedOn w:val="DefaultParagraphFont"/>
    <w:link w:val="BodyTextIndent2"/>
    <w:semiHidden/>
    <w:rsid w:val="007F3BF7"/>
    <w:rPr>
      <w:rFonts w:ascii="Georgia" w:eastAsia="Times New Roman" w:hAnsi="Georgia" w:cs="Times New Roman"/>
      <w:szCs w:val="21"/>
      <w:lang w:val="nb-NO" w:eastAsia="nb-NO"/>
    </w:rPr>
  </w:style>
  <w:style w:type="paragraph" w:styleId="BodyTextIndent3">
    <w:name w:val="Body Text Indent 3"/>
    <w:basedOn w:val="Normal"/>
    <w:link w:val="BodyTextIndent3Char"/>
    <w:semiHidden/>
    <w:rsid w:val="007F3BF7"/>
    <w:pPr>
      <w:tabs>
        <w:tab w:val="left" w:pos="510"/>
      </w:tabs>
      <w:spacing w:after="120" w:line="326" w:lineRule="atLeast"/>
      <w:ind w:left="283"/>
    </w:pPr>
    <w:rPr>
      <w:rFonts w:ascii="Georgia" w:eastAsia="Times New Roman" w:hAnsi="Georgia" w:cs="Times New Roman"/>
      <w:sz w:val="16"/>
      <w:szCs w:val="16"/>
      <w:lang w:val="nb-NO" w:eastAsia="nb-NO"/>
    </w:rPr>
  </w:style>
  <w:style w:type="character" w:customStyle="1" w:styleId="BodyTextIndent3Char">
    <w:name w:val="Body Text Indent 3 Char"/>
    <w:basedOn w:val="DefaultParagraphFont"/>
    <w:link w:val="BodyTextIndent3"/>
    <w:semiHidden/>
    <w:rsid w:val="007F3BF7"/>
    <w:rPr>
      <w:rFonts w:ascii="Georgia" w:eastAsia="Times New Roman" w:hAnsi="Georgia" w:cs="Times New Roman"/>
      <w:sz w:val="16"/>
      <w:szCs w:val="16"/>
      <w:lang w:val="nb-NO" w:eastAsia="nb-NO"/>
    </w:rPr>
  </w:style>
  <w:style w:type="paragraph" w:styleId="Date">
    <w:name w:val="Date"/>
    <w:basedOn w:val="Normal"/>
    <w:next w:val="Normal"/>
    <w:link w:val="DateChar"/>
    <w:semiHidden/>
    <w:rsid w:val="007F3BF7"/>
    <w:pPr>
      <w:tabs>
        <w:tab w:val="left" w:pos="510"/>
      </w:tabs>
      <w:spacing w:after="0" w:line="326" w:lineRule="atLeast"/>
    </w:pPr>
    <w:rPr>
      <w:rFonts w:ascii="Georgia" w:eastAsia="Times New Roman" w:hAnsi="Georgia" w:cs="Times New Roman"/>
      <w:szCs w:val="21"/>
      <w:lang w:val="nb-NO" w:eastAsia="nb-NO"/>
    </w:rPr>
  </w:style>
  <w:style w:type="character" w:customStyle="1" w:styleId="DateChar">
    <w:name w:val="Date Char"/>
    <w:basedOn w:val="DefaultParagraphFont"/>
    <w:link w:val="Date"/>
    <w:semiHidden/>
    <w:rsid w:val="007F3BF7"/>
    <w:rPr>
      <w:rFonts w:ascii="Georgia" w:eastAsia="Times New Roman" w:hAnsi="Georgia" w:cs="Times New Roman"/>
      <w:szCs w:val="21"/>
      <w:lang w:val="nb-NO" w:eastAsia="nb-NO"/>
    </w:rPr>
  </w:style>
  <w:style w:type="paragraph" w:styleId="E-mailSignature">
    <w:name w:val="E-mail Signature"/>
    <w:basedOn w:val="Normal"/>
    <w:link w:val="E-mailSignatureChar"/>
    <w:semiHidden/>
    <w:rsid w:val="007F3BF7"/>
    <w:pPr>
      <w:tabs>
        <w:tab w:val="left" w:pos="510"/>
      </w:tabs>
      <w:spacing w:after="0" w:line="326" w:lineRule="atLeast"/>
    </w:pPr>
    <w:rPr>
      <w:rFonts w:ascii="Georgia" w:eastAsia="Times New Roman" w:hAnsi="Georgia" w:cs="Times New Roman"/>
      <w:szCs w:val="21"/>
      <w:lang w:val="nb-NO" w:eastAsia="nb-NO"/>
    </w:rPr>
  </w:style>
  <w:style w:type="character" w:customStyle="1" w:styleId="E-mailSignatureChar">
    <w:name w:val="E-mail Signature Char"/>
    <w:basedOn w:val="DefaultParagraphFont"/>
    <w:link w:val="E-mailSignature"/>
    <w:semiHidden/>
    <w:rsid w:val="007F3BF7"/>
    <w:rPr>
      <w:rFonts w:ascii="Georgia" w:eastAsia="Times New Roman" w:hAnsi="Georgia" w:cs="Times New Roman"/>
      <w:szCs w:val="21"/>
      <w:lang w:val="nb-NO" w:eastAsia="nb-NO"/>
    </w:rPr>
  </w:style>
  <w:style w:type="paragraph" w:styleId="Closing">
    <w:name w:val="Closing"/>
    <w:basedOn w:val="Normal"/>
    <w:link w:val="ClosingChar"/>
    <w:semiHidden/>
    <w:rsid w:val="007F3BF7"/>
    <w:pPr>
      <w:tabs>
        <w:tab w:val="left" w:pos="510"/>
      </w:tabs>
      <w:spacing w:after="0" w:line="326" w:lineRule="atLeast"/>
      <w:ind w:left="4252"/>
    </w:pPr>
    <w:rPr>
      <w:rFonts w:ascii="Georgia" w:eastAsia="Times New Roman" w:hAnsi="Georgia" w:cs="Times New Roman"/>
      <w:szCs w:val="21"/>
      <w:lang w:val="nb-NO" w:eastAsia="nb-NO"/>
    </w:rPr>
  </w:style>
  <w:style w:type="character" w:customStyle="1" w:styleId="ClosingChar">
    <w:name w:val="Closing Char"/>
    <w:basedOn w:val="DefaultParagraphFont"/>
    <w:link w:val="Closing"/>
    <w:semiHidden/>
    <w:rsid w:val="007F3BF7"/>
    <w:rPr>
      <w:rFonts w:ascii="Georgia" w:eastAsia="Times New Roman" w:hAnsi="Georgia" w:cs="Times New Roman"/>
      <w:szCs w:val="21"/>
      <w:lang w:val="nb-NO" w:eastAsia="nb-NO"/>
    </w:rPr>
  </w:style>
  <w:style w:type="paragraph" w:styleId="HTMLAddress">
    <w:name w:val="HTML Address"/>
    <w:basedOn w:val="Normal"/>
    <w:link w:val="HTMLAddressChar"/>
    <w:semiHidden/>
    <w:rsid w:val="007F3BF7"/>
    <w:pPr>
      <w:tabs>
        <w:tab w:val="left" w:pos="510"/>
      </w:tabs>
      <w:spacing w:after="0" w:line="326" w:lineRule="atLeast"/>
    </w:pPr>
    <w:rPr>
      <w:rFonts w:ascii="Georgia" w:eastAsia="Times New Roman" w:hAnsi="Georgia" w:cs="Times New Roman"/>
      <w:i/>
      <w:iCs/>
      <w:szCs w:val="21"/>
      <w:lang w:val="nb-NO" w:eastAsia="nb-NO"/>
    </w:rPr>
  </w:style>
  <w:style w:type="character" w:customStyle="1" w:styleId="HTMLAddressChar">
    <w:name w:val="HTML Address Char"/>
    <w:basedOn w:val="DefaultParagraphFont"/>
    <w:link w:val="HTMLAddress"/>
    <w:semiHidden/>
    <w:rsid w:val="007F3BF7"/>
    <w:rPr>
      <w:rFonts w:ascii="Georgia" w:eastAsia="Times New Roman" w:hAnsi="Georgia" w:cs="Times New Roman"/>
      <w:i/>
      <w:iCs/>
      <w:szCs w:val="21"/>
      <w:lang w:val="nb-NO" w:eastAsia="nb-NO"/>
    </w:rPr>
  </w:style>
  <w:style w:type="paragraph" w:customStyle="1" w:styleId="Referances">
    <w:name w:val="Referances"/>
    <w:basedOn w:val="Normal"/>
    <w:rsid w:val="007F3BF7"/>
    <w:pPr>
      <w:tabs>
        <w:tab w:val="left" w:pos="510"/>
      </w:tabs>
      <w:spacing w:after="0" w:line="326" w:lineRule="atLeast"/>
      <w:ind w:left="510" w:hanging="510"/>
    </w:pPr>
    <w:rPr>
      <w:rFonts w:ascii="Georgia" w:eastAsia="Times New Roman" w:hAnsi="Georgia" w:cs="Times New Roman"/>
      <w:szCs w:val="20"/>
      <w:lang w:eastAsia="nb-NO"/>
    </w:rPr>
  </w:style>
  <w:style w:type="paragraph" w:styleId="HTMLPreformatted">
    <w:name w:val="HTML Preformatted"/>
    <w:basedOn w:val="Normal"/>
    <w:link w:val="HTMLPreformattedChar"/>
    <w:uiPriority w:val="99"/>
    <w:rsid w:val="007F3BF7"/>
    <w:pPr>
      <w:tabs>
        <w:tab w:val="left" w:pos="510"/>
      </w:tabs>
      <w:spacing w:after="0" w:line="326" w:lineRule="atLeast"/>
    </w:pPr>
    <w:rPr>
      <w:rFonts w:ascii="Courier New" w:eastAsia="Times New Roman" w:hAnsi="Courier New" w:cs="Courier New"/>
      <w:szCs w:val="20"/>
      <w:lang w:val="nb-NO" w:eastAsia="nb-NO"/>
    </w:rPr>
  </w:style>
  <w:style w:type="character" w:customStyle="1" w:styleId="HTMLPreformattedChar">
    <w:name w:val="HTML Preformatted Char"/>
    <w:basedOn w:val="DefaultParagraphFont"/>
    <w:link w:val="HTMLPreformatted"/>
    <w:uiPriority w:val="99"/>
    <w:rsid w:val="007F3BF7"/>
    <w:rPr>
      <w:rFonts w:ascii="Courier New" w:eastAsia="Times New Roman" w:hAnsi="Courier New" w:cs="Courier New"/>
      <w:szCs w:val="20"/>
      <w:lang w:val="nb-NO" w:eastAsia="nb-NO"/>
    </w:rPr>
  </w:style>
  <w:style w:type="paragraph" w:styleId="Salutation">
    <w:name w:val="Salutation"/>
    <w:basedOn w:val="Normal"/>
    <w:next w:val="Normal"/>
    <w:link w:val="SalutationChar"/>
    <w:semiHidden/>
    <w:rsid w:val="007F3BF7"/>
    <w:pPr>
      <w:tabs>
        <w:tab w:val="left" w:pos="510"/>
      </w:tabs>
      <w:spacing w:after="0" w:line="326" w:lineRule="atLeast"/>
    </w:pPr>
    <w:rPr>
      <w:rFonts w:ascii="Georgia" w:eastAsia="Times New Roman" w:hAnsi="Georgia" w:cs="Times New Roman"/>
      <w:szCs w:val="21"/>
      <w:lang w:val="nb-NO" w:eastAsia="nb-NO"/>
    </w:rPr>
  </w:style>
  <w:style w:type="character" w:customStyle="1" w:styleId="SalutationChar">
    <w:name w:val="Salutation Char"/>
    <w:basedOn w:val="DefaultParagraphFont"/>
    <w:link w:val="Salutation"/>
    <w:semiHidden/>
    <w:rsid w:val="007F3BF7"/>
    <w:rPr>
      <w:rFonts w:ascii="Georgia" w:eastAsia="Times New Roman" w:hAnsi="Georgia" w:cs="Times New Roman"/>
      <w:szCs w:val="21"/>
      <w:lang w:val="nb-NO" w:eastAsia="nb-NO"/>
    </w:rPr>
  </w:style>
  <w:style w:type="paragraph" w:styleId="EnvelopeAddress">
    <w:name w:val="envelope address"/>
    <w:basedOn w:val="Normal"/>
    <w:semiHidden/>
    <w:rsid w:val="007F3BF7"/>
    <w:pPr>
      <w:framePr w:w="7920" w:h="1980" w:hRule="exact" w:hSpace="141" w:wrap="auto" w:hAnchor="page" w:xAlign="center" w:yAlign="bottom"/>
      <w:tabs>
        <w:tab w:val="left" w:pos="510"/>
      </w:tabs>
      <w:spacing w:after="0" w:line="326" w:lineRule="atLeast"/>
      <w:ind w:left="2880"/>
    </w:pPr>
    <w:rPr>
      <w:rFonts w:ascii="Arial" w:eastAsia="Times New Roman" w:hAnsi="Arial" w:cs="Arial"/>
      <w:sz w:val="24"/>
      <w:szCs w:val="21"/>
      <w:lang w:val="nb-NO" w:eastAsia="nb-NO"/>
    </w:rPr>
  </w:style>
  <w:style w:type="paragraph" w:styleId="List">
    <w:name w:val="List"/>
    <w:basedOn w:val="Normal"/>
    <w:semiHidden/>
    <w:rsid w:val="007F3BF7"/>
    <w:pPr>
      <w:tabs>
        <w:tab w:val="left" w:pos="510"/>
      </w:tabs>
      <w:spacing w:after="0" w:line="326" w:lineRule="atLeast"/>
      <w:ind w:left="283" w:hanging="283"/>
    </w:pPr>
    <w:rPr>
      <w:rFonts w:ascii="Georgia" w:eastAsia="Times New Roman" w:hAnsi="Georgia" w:cs="Times New Roman"/>
      <w:szCs w:val="21"/>
      <w:lang w:val="nb-NO" w:eastAsia="nb-NO"/>
    </w:rPr>
  </w:style>
  <w:style w:type="paragraph" w:styleId="ListContinue">
    <w:name w:val="List Continue"/>
    <w:basedOn w:val="Normal"/>
    <w:semiHidden/>
    <w:rsid w:val="007F3BF7"/>
    <w:pPr>
      <w:tabs>
        <w:tab w:val="left" w:pos="510"/>
      </w:tabs>
      <w:spacing w:after="120" w:line="326" w:lineRule="atLeast"/>
      <w:ind w:left="283"/>
    </w:pPr>
    <w:rPr>
      <w:rFonts w:ascii="Georgia" w:eastAsia="Times New Roman" w:hAnsi="Georgia" w:cs="Times New Roman"/>
      <w:szCs w:val="21"/>
      <w:lang w:val="nb-NO" w:eastAsia="nb-NO"/>
    </w:rPr>
  </w:style>
  <w:style w:type="paragraph" w:styleId="ListContinue2">
    <w:name w:val="List Continue 2"/>
    <w:basedOn w:val="Normal"/>
    <w:semiHidden/>
    <w:rsid w:val="007F3BF7"/>
    <w:pPr>
      <w:tabs>
        <w:tab w:val="left" w:pos="510"/>
      </w:tabs>
      <w:spacing w:after="120" w:line="326" w:lineRule="atLeast"/>
      <w:ind w:left="566"/>
    </w:pPr>
    <w:rPr>
      <w:rFonts w:ascii="Georgia" w:eastAsia="Times New Roman" w:hAnsi="Georgia" w:cs="Times New Roman"/>
      <w:szCs w:val="21"/>
      <w:lang w:val="nb-NO" w:eastAsia="nb-NO"/>
    </w:rPr>
  </w:style>
  <w:style w:type="paragraph" w:styleId="ListContinue3">
    <w:name w:val="List Continue 3"/>
    <w:basedOn w:val="Normal"/>
    <w:semiHidden/>
    <w:rsid w:val="007F3BF7"/>
    <w:pPr>
      <w:tabs>
        <w:tab w:val="left" w:pos="510"/>
      </w:tabs>
      <w:spacing w:after="120" w:line="326" w:lineRule="atLeast"/>
      <w:ind w:left="849"/>
    </w:pPr>
    <w:rPr>
      <w:rFonts w:ascii="Georgia" w:eastAsia="Times New Roman" w:hAnsi="Georgia" w:cs="Times New Roman"/>
      <w:szCs w:val="21"/>
      <w:lang w:val="nb-NO" w:eastAsia="nb-NO"/>
    </w:rPr>
  </w:style>
  <w:style w:type="paragraph" w:styleId="ListContinue4">
    <w:name w:val="List Continue 4"/>
    <w:basedOn w:val="Normal"/>
    <w:semiHidden/>
    <w:rsid w:val="007F3BF7"/>
    <w:pPr>
      <w:tabs>
        <w:tab w:val="left" w:pos="510"/>
      </w:tabs>
      <w:spacing w:after="120" w:line="326" w:lineRule="atLeast"/>
      <w:ind w:left="1132"/>
    </w:pPr>
    <w:rPr>
      <w:rFonts w:ascii="Georgia" w:eastAsia="Times New Roman" w:hAnsi="Georgia" w:cs="Times New Roman"/>
      <w:szCs w:val="21"/>
      <w:lang w:val="nb-NO" w:eastAsia="nb-NO"/>
    </w:rPr>
  </w:style>
  <w:style w:type="paragraph" w:styleId="ListContinue5">
    <w:name w:val="List Continue 5"/>
    <w:basedOn w:val="Normal"/>
    <w:semiHidden/>
    <w:rsid w:val="007F3BF7"/>
    <w:pPr>
      <w:tabs>
        <w:tab w:val="left" w:pos="510"/>
      </w:tabs>
      <w:spacing w:after="120" w:line="326" w:lineRule="atLeast"/>
      <w:ind w:left="1415"/>
    </w:pPr>
    <w:rPr>
      <w:rFonts w:ascii="Georgia" w:eastAsia="Times New Roman" w:hAnsi="Georgia" w:cs="Times New Roman"/>
      <w:szCs w:val="21"/>
      <w:lang w:val="nb-NO" w:eastAsia="nb-NO"/>
    </w:rPr>
  </w:style>
  <w:style w:type="paragraph" w:styleId="List2">
    <w:name w:val="List 2"/>
    <w:basedOn w:val="Normal"/>
    <w:semiHidden/>
    <w:rsid w:val="007F3BF7"/>
    <w:pPr>
      <w:tabs>
        <w:tab w:val="left" w:pos="510"/>
      </w:tabs>
      <w:spacing w:after="0" w:line="326" w:lineRule="atLeast"/>
      <w:ind w:left="566" w:hanging="283"/>
    </w:pPr>
    <w:rPr>
      <w:rFonts w:ascii="Georgia" w:eastAsia="Times New Roman" w:hAnsi="Georgia" w:cs="Times New Roman"/>
      <w:szCs w:val="21"/>
      <w:lang w:val="nb-NO" w:eastAsia="nb-NO"/>
    </w:rPr>
  </w:style>
  <w:style w:type="paragraph" w:styleId="List3">
    <w:name w:val="List 3"/>
    <w:basedOn w:val="Normal"/>
    <w:semiHidden/>
    <w:rsid w:val="007F3BF7"/>
    <w:pPr>
      <w:tabs>
        <w:tab w:val="left" w:pos="510"/>
      </w:tabs>
      <w:spacing w:after="0" w:line="326" w:lineRule="atLeast"/>
      <w:ind w:left="849" w:hanging="283"/>
    </w:pPr>
    <w:rPr>
      <w:rFonts w:ascii="Georgia" w:eastAsia="Times New Roman" w:hAnsi="Georgia" w:cs="Times New Roman"/>
      <w:szCs w:val="21"/>
      <w:lang w:val="nb-NO" w:eastAsia="nb-NO"/>
    </w:rPr>
  </w:style>
  <w:style w:type="paragraph" w:styleId="List4">
    <w:name w:val="List 4"/>
    <w:basedOn w:val="Normal"/>
    <w:semiHidden/>
    <w:rsid w:val="007F3BF7"/>
    <w:pPr>
      <w:tabs>
        <w:tab w:val="left" w:pos="510"/>
      </w:tabs>
      <w:spacing w:after="0" w:line="326" w:lineRule="atLeast"/>
      <w:ind w:left="1132" w:hanging="283"/>
    </w:pPr>
    <w:rPr>
      <w:rFonts w:ascii="Georgia" w:eastAsia="Times New Roman" w:hAnsi="Georgia" w:cs="Times New Roman"/>
      <w:szCs w:val="21"/>
      <w:lang w:val="nb-NO" w:eastAsia="nb-NO"/>
    </w:rPr>
  </w:style>
  <w:style w:type="paragraph" w:styleId="List5">
    <w:name w:val="List 5"/>
    <w:basedOn w:val="Normal"/>
    <w:semiHidden/>
    <w:rsid w:val="007F3BF7"/>
    <w:pPr>
      <w:tabs>
        <w:tab w:val="left" w:pos="510"/>
      </w:tabs>
      <w:spacing w:after="0" w:line="326" w:lineRule="atLeast"/>
      <w:ind w:left="1415" w:hanging="283"/>
    </w:pPr>
    <w:rPr>
      <w:rFonts w:ascii="Georgia" w:eastAsia="Times New Roman" w:hAnsi="Georgia" w:cs="Times New Roman"/>
      <w:szCs w:val="21"/>
      <w:lang w:val="nb-NO" w:eastAsia="nb-NO"/>
    </w:rPr>
  </w:style>
  <w:style w:type="paragraph" w:styleId="MessageHeader">
    <w:name w:val="Message Header"/>
    <w:basedOn w:val="Normal"/>
    <w:link w:val="MessageHeaderChar"/>
    <w:semiHidden/>
    <w:rsid w:val="007F3BF7"/>
    <w:pPr>
      <w:pBdr>
        <w:top w:val="single" w:sz="6" w:space="1" w:color="auto"/>
        <w:left w:val="single" w:sz="6" w:space="1" w:color="auto"/>
        <w:bottom w:val="single" w:sz="6" w:space="1" w:color="auto"/>
        <w:right w:val="single" w:sz="6" w:space="1" w:color="auto"/>
      </w:pBdr>
      <w:shd w:val="pct20" w:color="auto" w:fill="auto"/>
      <w:tabs>
        <w:tab w:val="left" w:pos="510"/>
      </w:tabs>
      <w:spacing w:after="0" w:line="326" w:lineRule="atLeast"/>
      <w:ind w:left="1134" w:hanging="1134"/>
    </w:pPr>
    <w:rPr>
      <w:rFonts w:ascii="Arial" w:eastAsia="Times New Roman" w:hAnsi="Arial" w:cs="Arial"/>
      <w:sz w:val="24"/>
      <w:szCs w:val="21"/>
      <w:lang w:val="nb-NO" w:eastAsia="nb-NO"/>
    </w:rPr>
  </w:style>
  <w:style w:type="character" w:customStyle="1" w:styleId="MessageHeaderChar">
    <w:name w:val="Message Header Char"/>
    <w:basedOn w:val="DefaultParagraphFont"/>
    <w:link w:val="MessageHeader"/>
    <w:semiHidden/>
    <w:rsid w:val="007F3BF7"/>
    <w:rPr>
      <w:rFonts w:ascii="Arial" w:eastAsia="Times New Roman" w:hAnsi="Arial" w:cs="Arial"/>
      <w:sz w:val="24"/>
      <w:szCs w:val="21"/>
      <w:shd w:val="pct20" w:color="auto" w:fill="auto"/>
      <w:lang w:val="nb-NO" w:eastAsia="nb-NO"/>
    </w:rPr>
  </w:style>
  <w:style w:type="paragraph" w:customStyle="1" w:styleId="Kolofonnormalright">
    <w:name w:val="Kolofon normal right"/>
    <w:basedOn w:val="Normal"/>
    <w:link w:val="KolofonnormalrightChar"/>
    <w:qFormat/>
    <w:rsid w:val="007F3BF7"/>
    <w:pPr>
      <w:spacing w:after="0" w:line="326" w:lineRule="atLeast"/>
    </w:pPr>
    <w:rPr>
      <w:rFonts w:ascii="Georgia" w:eastAsia="Times New Roman" w:hAnsi="Georgia" w:cs="Times New Roman"/>
      <w:noProof/>
      <w:sz w:val="20"/>
      <w:szCs w:val="21"/>
      <w:lang w:val="en-US" w:eastAsia="nb-NO"/>
    </w:rPr>
  </w:style>
  <w:style w:type="paragraph" w:styleId="NoteHeading">
    <w:name w:val="Note Heading"/>
    <w:basedOn w:val="Normal"/>
    <w:next w:val="Normal"/>
    <w:link w:val="NoteHeadingChar"/>
    <w:semiHidden/>
    <w:rsid w:val="007F3BF7"/>
    <w:pPr>
      <w:tabs>
        <w:tab w:val="left" w:pos="510"/>
      </w:tabs>
      <w:spacing w:after="0" w:line="326" w:lineRule="atLeast"/>
    </w:pPr>
    <w:rPr>
      <w:rFonts w:ascii="Georgia" w:eastAsia="Times New Roman" w:hAnsi="Georgia" w:cs="Times New Roman"/>
      <w:szCs w:val="21"/>
      <w:lang w:val="nb-NO" w:eastAsia="nb-NO"/>
    </w:rPr>
  </w:style>
  <w:style w:type="character" w:customStyle="1" w:styleId="NoteHeadingChar">
    <w:name w:val="Note Heading Char"/>
    <w:basedOn w:val="DefaultParagraphFont"/>
    <w:link w:val="NoteHeading"/>
    <w:semiHidden/>
    <w:rsid w:val="007F3BF7"/>
    <w:rPr>
      <w:rFonts w:ascii="Georgia" w:eastAsia="Times New Roman" w:hAnsi="Georgia" w:cs="Times New Roman"/>
      <w:szCs w:val="21"/>
      <w:lang w:val="nb-NO" w:eastAsia="nb-NO"/>
    </w:rPr>
  </w:style>
  <w:style w:type="paragraph" w:styleId="ListNumber">
    <w:name w:val="List Number"/>
    <w:basedOn w:val="Normal"/>
    <w:semiHidden/>
    <w:rsid w:val="007F3BF7"/>
    <w:pPr>
      <w:numPr>
        <w:numId w:val="8"/>
      </w:numPr>
      <w:tabs>
        <w:tab w:val="left" w:pos="510"/>
      </w:tabs>
      <w:spacing w:after="0" w:line="326" w:lineRule="atLeast"/>
    </w:pPr>
    <w:rPr>
      <w:rFonts w:ascii="Georgia" w:eastAsia="Times New Roman" w:hAnsi="Georgia" w:cs="Times New Roman"/>
      <w:szCs w:val="21"/>
      <w:lang w:val="nb-NO" w:eastAsia="nb-NO"/>
    </w:rPr>
  </w:style>
  <w:style w:type="paragraph" w:styleId="ListNumber2">
    <w:name w:val="List Number 2"/>
    <w:basedOn w:val="Normal"/>
    <w:semiHidden/>
    <w:rsid w:val="007F3BF7"/>
    <w:pPr>
      <w:numPr>
        <w:numId w:val="6"/>
      </w:numPr>
      <w:tabs>
        <w:tab w:val="left" w:pos="510"/>
      </w:tabs>
      <w:spacing w:after="0" w:line="326" w:lineRule="atLeast"/>
    </w:pPr>
    <w:rPr>
      <w:rFonts w:ascii="Georgia" w:eastAsia="Times New Roman" w:hAnsi="Georgia" w:cs="Times New Roman"/>
      <w:szCs w:val="21"/>
      <w:lang w:val="nb-NO" w:eastAsia="nb-NO"/>
    </w:rPr>
  </w:style>
  <w:style w:type="paragraph" w:styleId="ListNumber3">
    <w:name w:val="List Number 3"/>
    <w:basedOn w:val="Normal"/>
    <w:semiHidden/>
    <w:rsid w:val="007F3BF7"/>
    <w:pPr>
      <w:numPr>
        <w:numId w:val="7"/>
      </w:numPr>
      <w:tabs>
        <w:tab w:val="left" w:pos="510"/>
      </w:tabs>
      <w:spacing w:after="0" w:line="326" w:lineRule="atLeast"/>
    </w:pPr>
    <w:rPr>
      <w:rFonts w:ascii="Georgia" w:eastAsia="Times New Roman" w:hAnsi="Georgia" w:cs="Times New Roman"/>
      <w:szCs w:val="21"/>
      <w:lang w:val="nb-NO" w:eastAsia="nb-NO"/>
    </w:rPr>
  </w:style>
  <w:style w:type="paragraph" w:styleId="ListNumber4">
    <w:name w:val="List Number 4"/>
    <w:basedOn w:val="Normal"/>
    <w:semiHidden/>
    <w:rsid w:val="007F3BF7"/>
    <w:pPr>
      <w:numPr>
        <w:numId w:val="4"/>
      </w:numPr>
      <w:tabs>
        <w:tab w:val="left" w:pos="510"/>
      </w:tabs>
      <w:spacing w:after="0" w:line="326" w:lineRule="atLeast"/>
    </w:pPr>
    <w:rPr>
      <w:rFonts w:ascii="Georgia" w:eastAsia="Times New Roman" w:hAnsi="Georgia" w:cs="Times New Roman"/>
      <w:szCs w:val="21"/>
      <w:lang w:val="nb-NO" w:eastAsia="nb-NO"/>
    </w:rPr>
  </w:style>
  <w:style w:type="paragraph" w:styleId="ListNumber5">
    <w:name w:val="List Number 5"/>
    <w:basedOn w:val="Normal"/>
    <w:semiHidden/>
    <w:rsid w:val="007F3BF7"/>
    <w:pPr>
      <w:numPr>
        <w:numId w:val="5"/>
      </w:numPr>
      <w:tabs>
        <w:tab w:val="left" w:pos="510"/>
      </w:tabs>
      <w:spacing w:after="0" w:line="326" w:lineRule="atLeast"/>
    </w:pPr>
    <w:rPr>
      <w:rFonts w:ascii="Georgia" w:eastAsia="Times New Roman" w:hAnsi="Georgia" w:cs="Times New Roman"/>
      <w:szCs w:val="21"/>
      <w:lang w:val="nb-NO" w:eastAsia="nb-NO"/>
    </w:rPr>
  </w:style>
  <w:style w:type="paragraph" w:styleId="ListBullet3">
    <w:name w:val="List Bullet 3"/>
    <w:basedOn w:val="Normal"/>
    <w:semiHidden/>
    <w:rsid w:val="007F3BF7"/>
    <w:pPr>
      <w:numPr>
        <w:numId w:val="1"/>
      </w:numPr>
      <w:tabs>
        <w:tab w:val="left" w:pos="510"/>
      </w:tabs>
      <w:spacing w:after="0" w:line="326" w:lineRule="atLeast"/>
      <w:ind w:left="0" w:firstLine="0"/>
    </w:pPr>
    <w:rPr>
      <w:rFonts w:ascii="Georgia" w:eastAsia="Times New Roman" w:hAnsi="Georgia" w:cs="Times New Roman"/>
      <w:szCs w:val="21"/>
      <w:lang w:val="nb-NO" w:eastAsia="nb-NO"/>
    </w:rPr>
  </w:style>
  <w:style w:type="paragraph" w:styleId="ListBullet4">
    <w:name w:val="List Bullet 4"/>
    <w:basedOn w:val="Normal"/>
    <w:semiHidden/>
    <w:rsid w:val="007F3BF7"/>
    <w:pPr>
      <w:numPr>
        <w:numId w:val="2"/>
      </w:numPr>
      <w:tabs>
        <w:tab w:val="left" w:pos="510"/>
      </w:tabs>
      <w:spacing w:after="0" w:line="326" w:lineRule="atLeast"/>
    </w:pPr>
    <w:rPr>
      <w:rFonts w:ascii="Georgia" w:eastAsia="Times New Roman" w:hAnsi="Georgia" w:cs="Times New Roman"/>
      <w:szCs w:val="21"/>
      <w:lang w:val="nb-NO" w:eastAsia="nb-NO"/>
    </w:rPr>
  </w:style>
  <w:style w:type="paragraph" w:styleId="ListBullet5">
    <w:name w:val="List Bullet 5"/>
    <w:basedOn w:val="Normal"/>
    <w:semiHidden/>
    <w:rsid w:val="007F3BF7"/>
    <w:pPr>
      <w:numPr>
        <w:numId w:val="3"/>
      </w:numPr>
      <w:tabs>
        <w:tab w:val="left" w:pos="510"/>
      </w:tabs>
      <w:spacing w:after="0" w:line="326" w:lineRule="atLeast"/>
    </w:pPr>
    <w:rPr>
      <w:rFonts w:ascii="Georgia" w:eastAsia="Times New Roman" w:hAnsi="Georgia" w:cs="Times New Roman"/>
      <w:szCs w:val="21"/>
      <w:lang w:val="nb-NO" w:eastAsia="nb-NO"/>
    </w:rPr>
  </w:style>
  <w:style w:type="paragraph" w:styleId="PlainText">
    <w:name w:val="Plain Text"/>
    <w:basedOn w:val="Normal"/>
    <w:link w:val="PlainTextChar"/>
    <w:uiPriority w:val="99"/>
    <w:rsid w:val="007F3BF7"/>
    <w:pPr>
      <w:tabs>
        <w:tab w:val="left" w:pos="510"/>
      </w:tabs>
      <w:spacing w:after="0" w:line="326" w:lineRule="atLeast"/>
    </w:pPr>
    <w:rPr>
      <w:rFonts w:ascii="Courier New" w:eastAsia="Times New Roman" w:hAnsi="Courier New" w:cs="Courier New"/>
      <w:szCs w:val="20"/>
      <w:lang w:val="nb-NO" w:eastAsia="nb-NO"/>
    </w:rPr>
  </w:style>
  <w:style w:type="character" w:customStyle="1" w:styleId="PlainTextChar">
    <w:name w:val="Plain Text Char"/>
    <w:basedOn w:val="DefaultParagraphFont"/>
    <w:link w:val="PlainText"/>
    <w:uiPriority w:val="99"/>
    <w:rsid w:val="007F3BF7"/>
    <w:rPr>
      <w:rFonts w:ascii="Courier New" w:eastAsia="Times New Roman" w:hAnsi="Courier New" w:cs="Courier New"/>
      <w:szCs w:val="20"/>
      <w:lang w:val="nb-NO" w:eastAsia="nb-NO"/>
    </w:rPr>
  </w:style>
  <w:style w:type="paragraph" w:customStyle="1" w:styleId="Tabelltekst">
    <w:name w:val="Tabelltekst"/>
    <w:link w:val="TabelltekstTegn"/>
    <w:qFormat/>
    <w:rsid w:val="007F3BF7"/>
    <w:pPr>
      <w:tabs>
        <w:tab w:val="left" w:pos="510"/>
      </w:tabs>
      <w:spacing w:after="0" w:line="240" w:lineRule="auto"/>
    </w:pPr>
    <w:rPr>
      <w:rFonts w:ascii="Arial Narrow" w:eastAsia="Times New Roman" w:hAnsi="Arial Narrow" w:cs="Times New Roman"/>
      <w:noProof/>
      <w:szCs w:val="24"/>
      <w:lang w:val="nb-NO" w:eastAsia="nb-NO"/>
    </w:rPr>
  </w:style>
  <w:style w:type="paragraph" w:styleId="Signature">
    <w:name w:val="Signature"/>
    <w:basedOn w:val="Normal"/>
    <w:link w:val="SignatureChar"/>
    <w:semiHidden/>
    <w:rsid w:val="007F3BF7"/>
    <w:pPr>
      <w:tabs>
        <w:tab w:val="left" w:pos="510"/>
      </w:tabs>
      <w:spacing w:after="0" w:line="326" w:lineRule="atLeast"/>
      <w:ind w:left="4252"/>
    </w:pPr>
    <w:rPr>
      <w:rFonts w:ascii="Georgia" w:eastAsia="Times New Roman" w:hAnsi="Georgia" w:cs="Times New Roman"/>
      <w:szCs w:val="21"/>
      <w:lang w:val="nb-NO" w:eastAsia="nb-NO"/>
    </w:rPr>
  </w:style>
  <w:style w:type="character" w:customStyle="1" w:styleId="SignatureChar">
    <w:name w:val="Signature Char"/>
    <w:basedOn w:val="DefaultParagraphFont"/>
    <w:link w:val="Signature"/>
    <w:semiHidden/>
    <w:rsid w:val="007F3BF7"/>
    <w:rPr>
      <w:rFonts w:ascii="Georgia" w:eastAsia="Times New Roman" w:hAnsi="Georgia" w:cs="Times New Roman"/>
      <w:szCs w:val="21"/>
      <w:lang w:val="nb-NO" w:eastAsia="nb-NO"/>
    </w:rPr>
  </w:style>
  <w:style w:type="paragraph" w:customStyle="1" w:styleId="boksoverskriftstor">
    <w:name w:val="boks overskrift stor"/>
    <w:basedOn w:val="Tabelltekst"/>
    <w:link w:val="boksoverskriftstorChar"/>
    <w:qFormat/>
    <w:rsid w:val="007F3BF7"/>
    <w:pPr>
      <w:spacing w:after="80"/>
    </w:pPr>
    <w:rPr>
      <w:sz w:val="32"/>
    </w:rPr>
  </w:style>
  <w:style w:type="paragraph" w:styleId="NormalIndent">
    <w:name w:val="Normal Indent"/>
    <w:basedOn w:val="Normal"/>
    <w:semiHidden/>
    <w:rsid w:val="007F3BF7"/>
    <w:pPr>
      <w:tabs>
        <w:tab w:val="left" w:pos="510"/>
      </w:tabs>
      <w:spacing w:after="0" w:line="326" w:lineRule="atLeast"/>
      <w:ind w:left="708"/>
    </w:pPr>
    <w:rPr>
      <w:rFonts w:ascii="Georgia" w:eastAsia="Times New Roman" w:hAnsi="Georgia" w:cs="Times New Roman"/>
      <w:szCs w:val="21"/>
      <w:lang w:val="nb-NO" w:eastAsia="nb-NO"/>
    </w:rPr>
  </w:style>
  <w:style w:type="numbering" w:styleId="ArticleSection">
    <w:name w:val="Outline List 3"/>
    <w:basedOn w:val="NoList"/>
    <w:semiHidden/>
    <w:rsid w:val="007F3BF7"/>
    <w:pPr>
      <w:numPr>
        <w:numId w:val="10"/>
      </w:numPr>
    </w:pPr>
  </w:style>
  <w:style w:type="table" w:styleId="TableSimple1">
    <w:name w:val="Table Simple 1"/>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FollowedHyperlink">
    <w:name w:val="FollowedHyperlink"/>
    <w:basedOn w:val="DefaultParagraphFont"/>
    <w:rsid w:val="007F3BF7"/>
    <w:rPr>
      <w:color w:val="800080"/>
      <w:u w:val="single"/>
    </w:rPr>
  </w:style>
  <w:style w:type="character" w:styleId="HTMLAcronym">
    <w:name w:val="HTML Acronym"/>
    <w:basedOn w:val="DefaultParagraphFont"/>
    <w:semiHidden/>
    <w:rsid w:val="007F3BF7"/>
  </w:style>
  <w:style w:type="character" w:styleId="HTMLDefinition">
    <w:name w:val="HTML Definition"/>
    <w:basedOn w:val="DefaultParagraphFont"/>
    <w:semiHidden/>
    <w:rsid w:val="007F3BF7"/>
    <w:rPr>
      <w:i/>
      <w:iCs/>
    </w:rPr>
  </w:style>
  <w:style w:type="character" w:styleId="HTMLSample">
    <w:name w:val="HTML Sample"/>
    <w:basedOn w:val="DefaultParagraphFont"/>
    <w:semiHidden/>
    <w:rsid w:val="007F3BF7"/>
    <w:rPr>
      <w:rFonts w:ascii="Courier New" w:hAnsi="Courier New" w:cs="Courier New"/>
    </w:rPr>
  </w:style>
  <w:style w:type="character" w:styleId="HTMLCode">
    <w:name w:val="HTML Code"/>
    <w:basedOn w:val="DefaultParagraphFont"/>
    <w:semiHidden/>
    <w:rsid w:val="007F3BF7"/>
    <w:rPr>
      <w:rFonts w:ascii="Courier New" w:hAnsi="Courier New" w:cs="Courier New"/>
      <w:sz w:val="20"/>
      <w:szCs w:val="20"/>
    </w:rPr>
  </w:style>
  <w:style w:type="character" w:styleId="HTMLCite">
    <w:name w:val="HTML Cite"/>
    <w:basedOn w:val="DefaultParagraphFont"/>
    <w:semiHidden/>
    <w:rsid w:val="007F3BF7"/>
    <w:rPr>
      <w:i/>
      <w:iCs/>
    </w:rPr>
  </w:style>
  <w:style w:type="character" w:styleId="HTMLTypewriter">
    <w:name w:val="HTML Typewriter"/>
    <w:basedOn w:val="DefaultParagraphFont"/>
    <w:semiHidden/>
    <w:rsid w:val="007F3BF7"/>
    <w:rPr>
      <w:rFonts w:ascii="Courier New" w:hAnsi="Courier New" w:cs="Courier New"/>
      <w:sz w:val="20"/>
      <w:szCs w:val="20"/>
    </w:rPr>
  </w:style>
  <w:style w:type="character" w:styleId="HTMLKeyboard">
    <w:name w:val="HTML Keyboard"/>
    <w:basedOn w:val="DefaultParagraphFont"/>
    <w:semiHidden/>
    <w:rsid w:val="007F3BF7"/>
    <w:rPr>
      <w:rFonts w:ascii="Courier New" w:hAnsi="Courier New" w:cs="Courier New"/>
      <w:sz w:val="20"/>
      <w:szCs w:val="20"/>
    </w:rPr>
  </w:style>
  <w:style w:type="character" w:styleId="HTMLVariable">
    <w:name w:val="HTML Variable"/>
    <w:basedOn w:val="DefaultParagraphFont"/>
    <w:semiHidden/>
    <w:rsid w:val="007F3BF7"/>
    <w:rPr>
      <w:i/>
      <w:iCs/>
    </w:rPr>
  </w:style>
  <w:style w:type="character" w:styleId="LineNumber">
    <w:name w:val="line number"/>
    <w:basedOn w:val="DefaultParagraphFont"/>
    <w:semiHidden/>
    <w:rsid w:val="007F3BF7"/>
  </w:style>
  <w:style w:type="paragraph" w:customStyle="1" w:styleId="boksbodytekst">
    <w:name w:val="boks bodytekst"/>
    <w:basedOn w:val="Tabelltekst"/>
    <w:link w:val="boksbodytekstTegn"/>
    <w:qFormat/>
    <w:rsid w:val="007F3BF7"/>
  </w:style>
  <w:style w:type="table" w:styleId="Table3Deffects1">
    <w:name w:val="Table 3D effects 1"/>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7F3BF7"/>
    <w:pPr>
      <w:tabs>
        <w:tab w:val="left" w:pos="510"/>
      </w:tabs>
      <w:spacing w:after="0" w:line="300" w:lineRule="exact"/>
    </w:pPr>
    <w:rPr>
      <w:rFonts w:ascii="Times New Roman" w:eastAsia="Times New Roman" w:hAnsi="Times New Roman" w:cs="Times New Roman"/>
      <w:color w:val="FFFFFF"/>
      <w:sz w:val="20"/>
      <w:szCs w:val="20"/>
      <w:lang w:val="nb-NO" w:eastAsia="nb-N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F3BF7"/>
    <w:pPr>
      <w:tabs>
        <w:tab w:val="left" w:pos="510"/>
      </w:tabs>
      <w:spacing w:after="0" w:line="300" w:lineRule="exact"/>
    </w:pPr>
    <w:rPr>
      <w:rFonts w:ascii="Times New Roman" w:eastAsia="Times New Roman" w:hAnsi="Times New Roman" w:cs="Times New Roman"/>
      <w:color w:val="000080"/>
      <w:sz w:val="20"/>
      <w:szCs w:val="20"/>
      <w:lang w:val="nb-NO" w:eastAsia="nb-N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semiHidden/>
    <w:rsid w:val="007F3BF7"/>
    <w:pPr>
      <w:tabs>
        <w:tab w:val="left" w:pos="510"/>
      </w:tabs>
      <w:spacing w:after="0" w:line="300" w:lineRule="exact"/>
    </w:pPr>
    <w:rPr>
      <w:rFonts w:ascii="Times New Roman" w:eastAsia="Times New Roman" w:hAnsi="Times New Roman" w:cs="Times New Roman"/>
      <w:b/>
      <w:bCs/>
      <w:sz w:val="20"/>
      <w:szCs w:val="20"/>
      <w:lang w:val="nb-NO" w:eastAsia="nb-N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F3BF7"/>
    <w:pPr>
      <w:tabs>
        <w:tab w:val="left" w:pos="510"/>
      </w:tabs>
      <w:spacing w:after="0" w:line="300" w:lineRule="exact"/>
    </w:pPr>
    <w:rPr>
      <w:rFonts w:ascii="Times New Roman" w:eastAsia="Times New Roman" w:hAnsi="Times New Roman" w:cs="Times New Roman"/>
      <w:b/>
      <w:bCs/>
      <w:sz w:val="20"/>
      <w:szCs w:val="20"/>
      <w:lang w:val="nb-NO" w:eastAsia="nb-N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F3BF7"/>
    <w:pPr>
      <w:tabs>
        <w:tab w:val="left" w:pos="510"/>
      </w:tabs>
      <w:spacing w:after="0" w:line="300" w:lineRule="exact"/>
    </w:pPr>
    <w:rPr>
      <w:rFonts w:ascii="Times New Roman" w:eastAsia="Times New Roman" w:hAnsi="Times New Roman" w:cs="Times New Roman"/>
      <w:b/>
      <w:bCs/>
      <w:sz w:val="20"/>
      <w:szCs w:val="20"/>
      <w:lang w:val="nb-NO" w:eastAsia="nb-N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rsid w:val="007F3BF7"/>
    <w:pPr>
      <w:tabs>
        <w:tab w:val="left" w:pos="510"/>
      </w:tabs>
      <w:spacing w:after="0" w:line="300" w:lineRule="exact"/>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F3BF7"/>
    <w:pPr>
      <w:tabs>
        <w:tab w:val="left" w:pos="510"/>
      </w:tabs>
      <w:spacing w:after="0" w:line="300" w:lineRule="exact"/>
    </w:pPr>
    <w:rPr>
      <w:rFonts w:ascii="Times New Roman" w:eastAsia="Times New Roman" w:hAnsi="Times New Roman" w:cs="Times New Roman"/>
      <w:b/>
      <w:bCs/>
      <w:sz w:val="20"/>
      <w:szCs w:val="20"/>
      <w:lang w:val="nb-NO" w:eastAsia="nb-N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7F3BF7"/>
    <w:pPr>
      <w:tabs>
        <w:tab w:val="left" w:pos="510"/>
      </w:tabs>
      <w:spacing w:after="0" w:line="300" w:lineRule="exact"/>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ksoverskriftstorChar">
    <w:name w:val="boks overskrift stor Char"/>
    <w:basedOn w:val="DefaultParagraphFont"/>
    <w:link w:val="boksoverskriftstor"/>
    <w:rsid w:val="007F3BF7"/>
    <w:rPr>
      <w:rFonts w:ascii="Arial Narrow" w:eastAsia="Times New Roman" w:hAnsi="Arial Narrow" w:cs="Times New Roman"/>
      <w:noProof/>
      <w:sz w:val="32"/>
      <w:szCs w:val="24"/>
      <w:lang w:val="nb-NO" w:eastAsia="nb-NO"/>
    </w:rPr>
  </w:style>
  <w:style w:type="paragraph" w:customStyle="1" w:styleId="Figurtekst">
    <w:name w:val="Figurtekst"/>
    <w:link w:val="FigurtekstTegn"/>
    <w:qFormat/>
    <w:rsid w:val="007F3BF7"/>
    <w:pPr>
      <w:spacing w:before="200" w:line="240" w:lineRule="auto"/>
    </w:pPr>
    <w:rPr>
      <w:rFonts w:ascii="Georgia" w:eastAsia="Times New Roman" w:hAnsi="Georgia" w:cs="Times New Roman"/>
      <w:i/>
      <w:sz w:val="20"/>
      <w:szCs w:val="24"/>
      <w:lang w:val="nb-NO" w:eastAsia="nb-NO"/>
    </w:rPr>
  </w:style>
  <w:style w:type="paragraph" w:customStyle="1" w:styleId="Stilkolofon-smalspalteFet">
    <w:name w:val="Stil kolofon-smal spalte + Fet"/>
    <w:basedOn w:val="kolofon"/>
    <w:semiHidden/>
    <w:rsid w:val="007F3BF7"/>
    <w:rPr>
      <w:rFonts w:ascii="Times New Roman" w:hAnsi="Times New Roman"/>
      <w:b/>
      <w:bCs/>
    </w:rPr>
  </w:style>
  <w:style w:type="paragraph" w:customStyle="1" w:styleId="Stilkolofon-smalspalteFet1">
    <w:name w:val="Stil kolofon-smal spalte + Fet1"/>
    <w:basedOn w:val="kolofon"/>
    <w:link w:val="Stilkolofon-smalspalteFet1Tegn"/>
    <w:semiHidden/>
    <w:rsid w:val="007F3BF7"/>
    <w:rPr>
      <w:rFonts w:ascii="Arial Narrow" w:hAnsi="Arial Narrow"/>
      <w:b/>
      <w:bCs/>
    </w:rPr>
  </w:style>
  <w:style w:type="character" w:customStyle="1" w:styleId="kolofonChar">
    <w:name w:val="kolofon Char"/>
    <w:basedOn w:val="DefaultParagraphFont"/>
    <w:link w:val="kolofon"/>
    <w:rsid w:val="007F3BF7"/>
    <w:rPr>
      <w:rFonts w:ascii="Georgia" w:eastAsia="Times New Roman" w:hAnsi="Georgia" w:cs="Times New Roman"/>
      <w:noProof/>
      <w:sz w:val="20"/>
      <w:szCs w:val="21"/>
      <w:lang w:val="en-US" w:eastAsia="nb-NO"/>
    </w:rPr>
  </w:style>
  <w:style w:type="character" w:customStyle="1" w:styleId="Stilkolofon-smalspalteFet1Tegn">
    <w:name w:val="Stil kolofon-smal spalte + Fet1 Tegn"/>
    <w:basedOn w:val="kolofonChar"/>
    <w:link w:val="Stilkolofon-smalspalteFet1"/>
    <w:rsid w:val="007F3BF7"/>
    <w:rPr>
      <w:rFonts w:ascii="Arial Narrow" w:eastAsia="Times New Roman" w:hAnsi="Arial Narrow" w:cs="Times New Roman"/>
      <w:b/>
      <w:bCs/>
      <w:noProof/>
      <w:sz w:val="20"/>
      <w:szCs w:val="21"/>
      <w:lang w:val="en-US" w:eastAsia="nb-NO"/>
    </w:rPr>
  </w:style>
  <w:style w:type="paragraph" w:customStyle="1" w:styleId="Normalinnrykket">
    <w:name w:val="Normal innrykket"/>
    <w:basedOn w:val="Normal"/>
    <w:rsid w:val="007F3BF7"/>
    <w:pPr>
      <w:tabs>
        <w:tab w:val="left" w:pos="510"/>
      </w:tabs>
      <w:spacing w:after="0" w:line="326" w:lineRule="atLeast"/>
      <w:ind w:firstLine="227"/>
    </w:pPr>
    <w:rPr>
      <w:rFonts w:ascii="Georgia" w:eastAsia="Times New Roman" w:hAnsi="Georgia" w:cs="Times New Roman"/>
      <w:szCs w:val="21"/>
      <w:lang w:val="nb-NO" w:eastAsia="nb-NO"/>
    </w:rPr>
  </w:style>
  <w:style w:type="character" w:customStyle="1" w:styleId="Figurteksttittelbold">
    <w:name w:val="Figur tekst tittel bold"/>
    <w:basedOn w:val="FigurtekstTegn"/>
    <w:uiPriority w:val="1"/>
    <w:rsid w:val="007F3BF7"/>
    <w:rPr>
      <w:rFonts w:ascii="Georgia" w:eastAsia="Times New Roman" w:hAnsi="Georgia" w:cs="Times New Roman"/>
      <w:b/>
      <w:i/>
      <w:sz w:val="20"/>
      <w:szCs w:val="24"/>
      <w:lang w:val="nb-NO" w:eastAsia="nb-NO"/>
    </w:rPr>
  </w:style>
  <w:style w:type="character" w:customStyle="1" w:styleId="boksbodytekstTegn">
    <w:name w:val="boks bodytekst Tegn"/>
    <w:basedOn w:val="TabelltekstTegn"/>
    <w:link w:val="boksbodytekst"/>
    <w:rsid w:val="007F3BF7"/>
    <w:rPr>
      <w:rFonts w:ascii="Arial Narrow" w:eastAsia="Times New Roman" w:hAnsi="Arial Narrow" w:cs="Times New Roman"/>
      <w:noProof/>
      <w:szCs w:val="24"/>
      <w:lang w:val="nb-NO" w:eastAsia="nb-NO"/>
    </w:rPr>
  </w:style>
  <w:style w:type="character" w:customStyle="1" w:styleId="TabelltekstTegn">
    <w:name w:val="Tabelltekst Tegn"/>
    <w:basedOn w:val="DefaultParagraphFont"/>
    <w:link w:val="Tabelltekst"/>
    <w:rsid w:val="007F3BF7"/>
    <w:rPr>
      <w:rFonts w:ascii="Arial Narrow" w:eastAsia="Times New Roman" w:hAnsi="Arial Narrow" w:cs="Times New Roman"/>
      <w:noProof/>
      <w:szCs w:val="24"/>
      <w:lang w:val="nb-NO" w:eastAsia="nb-NO"/>
    </w:rPr>
  </w:style>
  <w:style w:type="paragraph" w:customStyle="1" w:styleId="NormalBilledplassering">
    <w:name w:val="Normal Billedplassering"/>
    <w:basedOn w:val="Normal"/>
    <w:qFormat/>
    <w:rsid w:val="007F3BF7"/>
    <w:pPr>
      <w:tabs>
        <w:tab w:val="left" w:pos="510"/>
      </w:tabs>
      <w:spacing w:after="0" w:line="240" w:lineRule="auto"/>
    </w:pPr>
    <w:rPr>
      <w:rFonts w:ascii="Georgia" w:eastAsia="Times New Roman" w:hAnsi="Georgia" w:cs="Times New Roman"/>
      <w:noProof/>
      <w:szCs w:val="21"/>
      <w:lang w:val="nb-NO" w:eastAsia="nb-NO"/>
    </w:rPr>
  </w:style>
  <w:style w:type="paragraph" w:customStyle="1" w:styleId="BasicParagraph">
    <w:name w:val="[Basic Paragraph]"/>
    <w:basedOn w:val="Normal"/>
    <w:uiPriority w:val="99"/>
    <w:rsid w:val="007F3BF7"/>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nb-NO"/>
    </w:rPr>
  </w:style>
  <w:style w:type="paragraph" w:customStyle="1" w:styleId="KolofonBoldleft">
    <w:name w:val="Kolofon Bold left"/>
    <w:basedOn w:val="Kolofonnormalright"/>
    <w:qFormat/>
    <w:rsid w:val="007F3BF7"/>
    <w:pPr>
      <w:jc w:val="right"/>
    </w:pPr>
    <w:rPr>
      <w:b/>
      <w:bCs/>
      <w:szCs w:val="20"/>
    </w:rPr>
  </w:style>
  <w:style w:type="paragraph" w:customStyle="1" w:styleId="Tabelltekstbold">
    <w:name w:val="Tabelltekst bold"/>
    <w:basedOn w:val="Tabelltekst"/>
    <w:link w:val="TabelltekstboldChar"/>
    <w:qFormat/>
    <w:rsid w:val="007F3BF7"/>
    <w:rPr>
      <w:b/>
    </w:rPr>
  </w:style>
  <w:style w:type="table" w:customStyle="1" w:styleId="Tabelliste31">
    <w:name w:val="Tabelliste 31"/>
    <w:basedOn w:val="TableNormal"/>
    <w:next w:val="TableList3"/>
    <w:rsid w:val="007F3BF7"/>
    <w:pPr>
      <w:tabs>
        <w:tab w:val="left" w:pos="510"/>
      </w:tabs>
      <w:spacing w:after="0" w:line="240" w:lineRule="auto"/>
    </w:pPr>
    <w:rPr>
      <w:rFonts w:ascii="Arial Narrow" w:eastAsia="Times New Roman" w:hAnsi="Arial Narrow" w:cs="Times New Roman"/>
      <w:szCs w:val="20"/>
      <w:lang w:val="nb-NO" w:eastAsia="nb-NO"/>
    </w:rPr>
    <w:tblPr>
      <w:tblStyleRowBandSize w:val="1"/>
      <w:tblStyleColBandSize w:val="1"/>
      <w:tblBorders>
        <w:top w:val="single" w:sz="4" w:space="0" w:color="000000"/>
        <w:bottom w:val="single" w:sz="4" w:space="0" w:color="000000"/>
        <w:insideH w:val="single" w:sz="4" w:space="0" w:color="000000"/>
      </w:tblBorders>
      <w:tblCellMar>
        <w:top w:w="68" w:type="dxa"/>
        <w:left w:w="57" w:type="dxa"/>
        <w:bottom w:w="68" w:type="dxa"/>
        <w:right w:w="57" w:type="dxa"/>
      </w:tblCellMar>
    </w:tblPr>
    <w:tcPr>
      <w:shd w:val="clear" w:color="auto" w:fill="auto"/>
    </w:tcPr>
    <w:tblStylePr w:type="firstRow">
      <w:rPr>
        <w:rFonts w:ascii="System" w:hAnsi="System"/>
        <w:b/>
        <w:sz w:val="22"/>
      </w:rPr>
      <w:tblPr/>
      <w:tcPr>
        <w:shd w:val="clear" w:color="auto" w:fill="EEEDEB"/>
      </w:tcPr>
    </w:tblStylePr>
    <w:tblStylePr w:type="lastRow">
      <w:tblPr/>
      <w:tcPr>
        <w:tcBorders>
          <w:top w:val="single" w:sz="4" w:space="0" w:color="auto"/>
          <w:bottom w:val="single" w:sz="4" w:space="0" w:color="auto"/>
          <w:tl2br w:val="none" w:sz="0" w:space="0" w:color="auto"/>
          <w:tr2bl w:val="none" w:sz="0" w:space="0" w:color="auto"/>
        </w:tcBorders>
        <w:shd w:val="clear" w:color="auto" w:fill="auto"/>
      </w:tcPr>
    </w:tblStylePr>
    <w:tblStylePr w:type="firstCol">
      <w:rPr>
        <w:rFonts w:ascii="System" w:hAnsi="System"/>
        <w:b/>
      </w:rPr>
    </w:tblStylePr>
    <w:tblStylePr w:type="swCell">
      <w:tblPr/>
      <w:tcPr>
        <w:tcBorders>
          <w:tl2br w:val="none" w:sz="0" w:space="0" w:color="auto"/>
          <w:tr2bl w:val="none" w:sz="0" w:space="0" w:color="auto"/>
        </w:tcBorders>
      </w:tcPr>
    </w:tblStylePr>
  </w:style>
  <w:style w:type="character" w:customStyle="1" w:styleId="FigurtekstTegn">
    <w:name w:val="Figurtekst Tegn"/>
    <w:basedOn w:val="DefaultParagraphFont"/>
    <w:link w:val="Figurtekst"/>
    <w:rsid w:val="007F3BF7"/>
    <w:rPr>
      <w:rFonts w:ascii="Georgia" w:eastAsia="Times New Roman" w:hAnsi="Georgia" w:cs="Times New Roman"/>
      <w:i/>
      <w:sz w:val="20"/>
      <w:szCs w:val="24"/>
      <w:lang w:val="nb-NO" w:eastAsia="nb-NO"/>
    </w:rPr>
  </w:style>
  <w:style w:type="paragraph" w:customStyle="1" w:styleId="tabelltekstkursiv">
    <w:name w:val="tabelltekst kursiv"/>
    <w:basedOn w:val="Tabelltekst"/>
    <w:qFormat/>
    <w:rsid w:val="007F3BF7"/>
    <w:rPr>
      <w:i/>
    </w:rPr>
  </w:style>
  <w:style w:type="paragraph" w:styleId="NormalWeb">
    <w:name w:val="Normal (Web)"/>
    <w:basedOn w:val="Normal"/>
    <w:uiPriority w:val="99"/>
    <w:rsid w:val="007F3BF7"/>
    <w:pPr>
      <w:tabs>
        <w:tab w:val="left" w:pos="510"/>
      </w:tabs>
      <w:spacing w:after="0" w:line="326" w:lineRule="atLeast"/>
    </w:pPr>
    <w:rPr>
      <w:rFonts w:ascii="Times New Roman" w:eastAsia="Times New Roman" w:hAnsi="Times New Roman" w:cs="Times New Roman"/>
      <w:sz w:val="24"/>
      <w:szCs w:val="21"/>
      <w:lang w:val="nb-NO" w:eastAsia="nb-NO"/>
    </w:rPr>
  </w:style>
  <w:style w:type="paragraph" w:customStyle="1" w:styleId="IntroHeadingCnoTOC">
    <w:name w:val="Intro Heading C (no TOC)"/>
    <w:basedOn w:val="Normal"/>
    <w:rsid w:val="007F3BF7"/>
    <w:pPr>
      <w:tabs>
        <w:tab w:val="left" w:pos="510"/>
      </w:tabs>
      <w:spacing w:after="0" w:line="240" w:lineRule="auto"/>
    </w:pPr>
    <w:rPr>
      <w:rFonts w:ascii="Georgia" w:eastAsia="Times New Roman" w:hAnsi="Georgia" w:cs="Times New Roman"/>
      <w:b/>
      <w:noProof/>
      <w:sz w:val="36"/>
      <w:szCs w:val="21"/>
      <w:lang w:val="nb-NO" w:eastAsia="nb-NO"/>
    </w:rPr>
  </w:style>
  <w:style w:type="table" w:styleId="ColorfulGrid-Accent5">
    <w:name w:val="Colorful Grid Accent 5"/>
    <w:basedOn w:val="TableNormal"/>
    <w:uiPriority w:val="64"/>
    <w:rsid w:val="007F3BF7"/>
    <w:pPr>
      <w:spacing w:after="0" w:line="240" w:lineRule="auto"/>
    </w:pPr>
    <w:rPr>
      <w:rFonts w:ascii="Times New Roman" w:eastAsia="Times New Roman" w:hAnsi="Times New Roman" w:cs="Times New Roman"/>
      <w:sz w:val="24"/>
      <w:szCs w:val="24"/>
      <w:lang w:val="nb-NO" w:eastAsia="nb-N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tyleOutlinenumberedCourierNewBoldLeft0cmHanging0">
    <w:name w:val="Style Outline numbered Courier New Bold Left:  0 cm Hanging:  0..."/>
    <w:basedOn w:val="NoList"/>
    <w:rsid w:val="007F3BF7"/>
    <w:pPr>
      <w:numPr>
        <w:numId w:val="12"/>
      </w:numPr>
    </w:pPr>
  </w:style>
  <w:style w:type="character" w:customStyle="1" w:styleId="KolofonnormalrightChar">
    <w:name w:val="Kolofon normal right Char"/>
    <w:basedOn w:val="DefaultParagraphFont"/>
    <w:link w:val="Kolofonnormalright"/>
    <w:rsid w:val="007F3BF7"/>
    <w:rPr>
      <w:rFonts w:ascii="Georgia" w:eastAsia="Times New Roman" w:hAnsi="Georgia" w:cs="Times New Roman"/>
      <w:noProof/>
      <w:sz w:val="20"/>
      <w:szCs w:val="21"/>
      <w:lang w:val="en-US" w:eastAsia="nb-NO"/>
    </w:rPr>
  </w:style>
  <w:style w:type="numbering" w:customStyle="1" w:styleId="StyleOutlinenumberedCourierNewBoldLeft0cmHanging01">
    <w:name w:val="Style Outline numbered Courier New Bold Left:  0 cm Hanging:  0...1"/>
    <w:basedOn w:val="NoList"/>
    <w:rsid w:val="007F3BF7"/>
    <w:pPr>
      <w:numPr>
        <w:numId w:val="13"/>
      </w:numPr>
    </w:pPr>
  </w:style>
  <w:style w:type="paragraph" w:customStyle="1" w:styleId="Tabletextbullet">
    <w:name w:val="Table text bullet"/>
    <w:basedOn w:val="Normal"/>
    <w:qFormat/>
    <w:rsid w:val="007F3BF7"/>
    <w:pPr>
      <w:numPr>
        <w:numId w:val="16"/>
      </w:numPr>
      <w:tabs>
        <w:tab w:val="left" w:pos="510"/>
      </w:tabs>
      <w:spacing w:after="0" w:line="240" w:lineRule="auto"/>
    </w:pPr>
    <w:rPr>
      <w:rFonts w:ascii="Arial Narrow" w:eastAsia="Times New Roman" w:hAnsi="Arial Narrow" w:cs="Times New Roman"/>
      <w:szCs w:val="21"/>
      <w:lang w:val="nb-NO" w:eastAsia="nb-NO"/>
    </w:rPr>
  </w:style>
  <w:style w:type="character" w:customStyle="1" w:styleId="TabelltekstboldChar">
    <w:name w:val="Tabelltekst bold Char"/>
    <w:basedOn w:val="TabelltekstTegn"/>
    <w:link w:val="Tabelltekstbold"/>
    <w:rsid w:val="007F3BF7"/>
    <w:rPr>
      <w:rFonts w:ascii="Arial Narrow" w:eastAsia="Times New Roman" w:hAnsi="Arial Narrow" w:cs="Times New Roman"/>
      <w:b/>
      <w:noProof/>
      <w:szCs w:val="24"/>
      <w:lang w:val="nb-NO" w:eastAsia="nb-NO"/>
    </w:rPr>
  </w:style>
  <w:style w:type="numbering" w:customStyle="1" w:styleId="StyleBulletedCourierNewBoldLeft05cmHanging204cm">
    <w:name w:val="Style Bulleted Courier New Bold Left:  05 cm Hanging:  204 cm"/>
    <w:basedOn w:val="NoList"/>
    <w:rsid w:val="007F3BF7"/>
    <w:pPr>
      <w:numPr>
        <w:numId w:val="14"/>
      </w:numPr>
    </w:pPr>
  </w:style>
  <w:style w:type="character" w:customStyle="1" w:styleId="instruksjonstekst2">
    <w:name w:val="instruksjonstekst2"/>
    <w:basedOn w:val="Stilkolofon-smalspalteFet1Tegn"/>
    <w:qFormat/>
    <w:rsid w:val="007F3BF7"/>
    <w:rPr>
      <w:rFonts w:ascii="Arial Narrow" w:eastAsia="Times New Roman" w:hAnsi="Arial Narrow" w:cs="Times New Roman"/>
      <w:b w:val="0"/>
      <w:bCs/>
      <w:noProof/>
      <w:sz w:val="16"/>
      <w:szCs w:val="21"/>
      <w:bdr w:val="none" w:sz="0" w:space="0" w:color="auto"/>
      <w:shd w:val="clear" w:color="auto" w:fill="FFFF00"/>
      <w:lang w:val="nb-NO" w:eastAsia="nb-NO"/>
    </w:rPr>
  </w:style>
  <w:style w:type="paragraph" w:customStyle="1" w:styleId="Lysskyggelegging-uthevingsfarge21">
    <w:name w:val="Lys skyggelegging - uthevingsfarge 21"/>
    <w:basedOn w:val="Normal"/>
    <w:next w:val="Normal"/>
    <w:link w:val="Lysskyggelegging-uthevingsfarge2Tegn"/>
    <w:rsid w:val="007F3BF7"/>
    <w:pPr>
      <w:framePr w:wrap="around" w:vAnchor="text" w:hAnchor="text" w:y="1"/>
      <w:pBdr>
        <w:top w:val="single" w:sz="4" w:space="10" w:color="C4BC96"/>
        <w:left w:val="single" w:sz="4" w:space="10" w:color="C4BC96"/>
        <w:bottom w:val="single" w:sz="4" w:space="12" w:color="C4BC96"/>
        <w:right w:val="single" w:sz="4" w:space="10" w:color="C4BC96"/>
      </w:pBdr>
      <w:shd w:val="clear" w:color="auto" w:fill="EEECE1"/>
      <w:tabs>
        <w:tab w:val="left" w:pos="510"/>
      </w:tabs>
      <w:spacing w:after="0" w:line="280" w:lineRule="exact"/>
      <w:ind w:left="200" w:right="200"/>
      <w:jc w:val="both"/>
    </w:pPr>
    <w:rPr>
      <w:rFonts w:ascii="Georgia" w:eastAsia="Times New Roman" w:hAnsi="Georgia" w:cs="Times New Roman"/>
      <w:bCs/>
      <w:iCs/>
      <w:sz w:val="20"/>
      <w:szCs w:val="21"/>
      <w:lang w:val="nb-NO" w:eastAsia="nb-NO"/>
    </w:rPr>
  </w:style>
  <w:style w:type="character" w:customStyle="1" w:styleId="Lysskyggelegging-uthevingsfarge2Tegn">
    <w:name w:val="Lys skyggelegging - uthevingsfarge 2 Tegn"/>
    <w:basedOn w:val="DefaultParagraphFont"/>
    <w:link w:val="Lysskyggelegging-uthevingsfarge21"/>
    <w:rsid w:val="007F3BF7"/>
    <w:rPr>
      <w:rFonts w:ascii="Georgia" w:eastAsia="Times New Roman" w:hAnsi="Georgia" w:cs="Times New Roman"/>
      <w:bCs/>
      <w:iCs/>
      <w:sz w:val="20"/>
      <w:szCs w:val="21"/>
      <w:shd w:val="clear" w:color="auto" w:fill="EEECE1"/>
      <w:lang w:val="nb-NO" w:eastAsia="nb-NO"/>
    </w:rPr>
  </w:style>
  <w:style w:type="paragraph" w:customStyle="1" w:styleId="Fargerikliste-uthevingsfarge11">
    <w:name w:val="Fargerik liste - uthevingsfarge 11"/>
    <w:basedOn w:val="ListBullet"/>
    <w:rsid w:val="007F3BF7"/>
    <w:pPr>
      <w:numPr>
        <w:numId w:val="0"/>
      </w:numPr>
    </w:pPr>
    <w:rPr>
      <w:lang w:val="en-US"/>
    </w:rPr>
  </w:style>
  <w:style w:type="paragraph" w:customStyle="1" w:styleId="Ingenmellomrom1">
    <w:name w:val="Ingen mellomrom1"/>
    <w:rsid w:val="007F3BF7"/>
    <w:pPr>
      <w:tabs>
        <w:tab w:val="left" w:pos="510"/>
      </w:tabs>
      <w:spacing w:after="0" w:line="240" w:lineRule="auto"/>
    </w:pPr>
    <w:rPr>
      <w:rFonts w:ascii="Georgia" w:eastAsia="Times New Roman" w:hAnsi="Georgia" w:cs="Times New Roman"/>
      <w:szCs w:val="21"/>
      <w:lang w:val="nb-NO" w:eastAsia="nb-NO"/>
    </w:rPr>
  </w:style>
  <w:style w:type="paragraph" w:styleId="Title">
    <w:name w:val="Title"/>
    <w:basedOn w:val="Normal"/>
    <w:next w:val="Normal"/>
    <w:link w:val="TitleChar"/>
    <w:uiPriority w:val="10"/>
    <w:qFormat/>
    <w:rsid w:val="007F3BF7"/>
    <w:pPr>
      <w:pBdr>
        <w:bottom w:val="single" w:sz="8" w:space="4" w:color="4F81BD" w:themeColor="accent1"/>
      </w:pBdr>
      <w:tabs>
        <w:tab w:val="left" w:pos="510"/>
      </w:tabs>
      <w:spacing w:after="300" w:line="240" w:lineRule="auto"/>
      <w:contextualSpacing/>
    </w:pPr>
    <w:rPr>
      <w:rFonts w:ascii="Arial Narrow" w:eastAsiaTheme="majorEastAsia" w:hAnsi="Arial Narrow" w:cstheme="majorBidi"/>
      <w:color w:val="17365D" w:themeColor="text2" w:themeShade="BF"/>
      <w:spacing w:val="5"/>
      <w:kern w:val="28"/>
      <w:sz w:val="52"/>
      <w:szCs w:val="52"/>
      <w:lang w:val="nb-NO" w:eastAsia="nb-NO"/>
    </w:rPr>
  </w:style>
  <w:style w:type="character" w:customStyle="1" w:styleId="TitleChar">
    <w:name w:val="Title Char"/>
    <w:basedOn w:val="DefaultParagraphFont"/>
    <w:link w:val="Title"/>
    <w:uiPriority w:val="10"/>
    <w:rsid w:val="007F3BF7"/>
    <w:rPr>
      <w:rFonts w:ascii="Arial Narrow" w:eastAsiaTheme="majorEastAsia" w:hAnsi="Arial Narrow" w:cstheme="majorBidi"/>
      <w:color w:val="17365D" w:themeColor="text2" w:themeShade="BF"/>
      <w:spacing w:val="5"/>
      <w:kern w:val="28"/>
      <w:sz w:val="52"/>
      <w:szCs w:val="52"/>
      <w:lang w:val="nb-NO" w:eastAsia="nb-NO"/>
    </w:rPr>
  </w:style>
  <w:style w:type="table" w:customStyle="1" w:styleId="TableKunnskapssenteret">
    <w:name w:val="Table Kunnskapssenteret"/>
    <w:basedOn w:val="TableNormal"/>
    <w:uiPriority w:val="99"/>
    <w:qFormat/>
    <w:rsid w:val="007F3BF7"/>
    <w:pPr>
      <w:spacing w:after="0" w:line="240" w:lineRule="auto"/>
    </w:pPr>
    <w:rPr>
      <w:rFonts w:ascii="Arial Narrow" w:eastAsia="Times New Roman" w:hAnsi="Arial Narrow" w:cs="Times New Roman"/>
      <w:szCs w:val="24"/>
      <w:lang w:val="nb-NO" w:eastAsia="nb-NO"/>
    </w:rPr>
    <w:tblPr>
      <w:tblBorders>
        <w:top w:val="single" w:sz="4" w:space="0" w:color="000000"/>
        <w:bottom w:val="single" w:sz="4" w:space="0" w:color="000000"/>
        <w:insideH w:val="single" w:sz="4" w:space="0" w:color="000000"/>
      </w:tblBorders>
      <w:tblCellMar>
        <w:top w:w="68" w:type="dxa"/>
        <w:left w:w="68" w:type="dxa"/>
        <w:bottom w:w="68" w:type="dxa"/>
        <w:right w:w="68" w:type="dxa"/>
      </w:tblCellMar>
    </w:tblPr>
    <w:tcPr>
      <w:shd w:val="clear" w:color="auto" w:fill="FFFFFF"/>
    </w:tcPr>
    <w:tblStylePr w:type="firstRow">
      <w:pPr>
        <w:jc w:val="left"/>
      </w:pPr>
      <w:rPr>
        <w:rFonts w:ascii="Helv" w:hAnsi="Helv"/>
        <w:b/>
        <w:sz w:val="22"/>
      </w:rPr>
      <w:tblPr/>
      <w:tcPr>
        <w:shd w:val="clear" w:color="auto" w:fill="EEECE1"/>
      </w:tcPr>
    </w:tblStylePr>
  </w:style>
  <w:style w:type="table" w:styleId="MediumGrid2-Accent3">
    <w:name w:val="Medium Grid 2 Accent 3"/>
    <w:basedOn w:val="TableNormal"/>
    <w:rsid w:val="007F3BF7"/>
    <w:pPr>
      <w:spacing w:after="0" w:line="240" w:lineRule="auto"/>
    </w:pPr>
    <w:rPr>
      <w:rFonts w:ascii="Times New Roman" w:eastAsia="Times New Roman" w:hAnsi="Times New Roman" w:cs="Times New Roman"/>
      <w:color w:val="000000"/>
      <w:sz w:val="24"/>
      <w:szCs w:val="24"/>
      <w:lang w:val="nb-NO" w:eastAsia="nb-NO"/>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customStyle="1" w:styleId="Plassholdertekst1">
    <w:name w:val="Plassholdertekst1"/>
    <w:basedOn w:val="DefaultParagraphFont"/>
    <w:rsid w:val="007F3BF7"/>
    <w:rPr>
      <w:color w:val="808080"/>
    </w:rPr>
  </w:style>
  <w:style w:type="table" w:styleId="DarkList-Accent3">
    <w:name w:val="Dark List Accent 3"/>
    <w:basedOn w:val="TableNormal"/>
    <w:uiPriority w:val="61"/>
    <w:rsid w:val="007F3BF7"/>
    <w:pPr>
      <w:spacing w:after="0" w:line="240" w:lineRule="auto"/>
    </w:pPr>
    <w:rPr>
      <w:rFonts w:ascii="Cambria" w:eastAsia="Times New Roman" w:hAnsi="Cambria" w:cs="Times New Roman"/>
      <w:lang w:val="nb-NO" w:eastAsia="nb-N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Caption">
    <w:name w:val="caption"/>
    <w:basedOn w:val="Normal"/>
    <w:next w:val="Normal"/>
    <w:unhideWhenUsed/>
    <w:qFormat/>
    <w:rsid w:val="007F3BF7"/>
    <w:pPr>
      <w:tabs>
        <w:tab w:val="left" w:pos="510"/>
      </w:tabs>
      <w:spacing w:line="240" w:lineRule="auto"/>
    </w:pPr>
    <w:rPr>
      <w:rFonts w:ascii="Georgia" w:eastAsia="Times New Roman" w:hAnsi="Georgia" w:cs="Times New Roman"/>
      <w:b/>
      <w:bCs/>
      <w:color w:val="4F81BD" w:themeColor="accent1"/>
      <w:sz w:val="18"/>
      <w:szCs w:val="18"/>
      <w:lang w:val="nb-NO" w:eastAsia="nb-NO"/>
    </w:rPr>
  </w:style>
  <w:style w:type="character" w:styleId="Strong">
    <w:name w:val="Strong"/>
    <w:uiPriority w:val="22"/>
    <w:qFormat/>
    <w:rsid w:val="007F3BF7"/>
    <w:rPr>
      <w:b/>
      <w:bCs/>
    </w:rPr>
  </w:style>
  <w:style w:type="character" w:styleId="Emphasis">
    <w:name w:val="Emphasis"/>
    <w:uiPriority w:val="20"/>
    <w:qFormat/>
    <w:rsid w:val="007F3BF7"/>
    <w:rPr>
      <w:i/>
      <w:iCs/>
    </w:rPr>
  </w:style>
  <w:style w:type="paragraph" w:customStyle="1" w:styleId="Fargeriktrutenett-uthevingsfarge11">
    <w:name w:val="Fargerikt rutenett - uthevingsfarge 11"/>
    <w:basedOn w:val="Normal"/>
    <w:next w:val="Normal"/>
    <w:link w:val="Fargeriktrutenett-uthevingsfarge1Tegn"/>
    <w:rsid w:val="007F3BF7"/>
    <w:pPr>
      <w:tabs>
        <w:tab w:val="left" w:pos="510"/>
      </w:tabs>
      <w:spacing w:after="0" w:line="326" w:lineRule="atLeast"/>
    </w:pPr>
    <w:rPr>
      <w:rFonts w:ascii="Georgia" w:eastAsia="Times New Roman" w:hAnsi="Georgia" w:cs="Times New Roman"/>
      <w:i/>
      <w:iCs/>
      <w:color w:val="000000"/>
      <w:szCs w:val="21"/>
      <w:lang w:val="nb-NO" w:eastAsia="nb-NO"/>
    </w:rPr>
  </w:style>
  <w:style w:type="character" w:customStyle="1" w:styleId="Fargeriktrutenett-uthevingsfarge1Tegn">
    <w:name w:val="Fargerikt rutenett - uthevingsfarge 1 Tegn"/>
    <w:basedOn w:val="DefaultParagraphFont"/>
    <w:link w:val="Fargeriktrutenett-uthevingsfarge11"/>
    <w:rsid w:val="007F3BF7"/>
    <w:rPr>
      <w:rFonts w:ascii="Georgia" w:eastAsia="Times New Roman" w:hAnsi="Georgia" w:cs="Times New Roman"/>
      <w:i/>
      <w:iCs/>
      <w:color w:val="000000"/>
      <w:szCs w:val="21"/>
      <w:lang w:val="nb-NO" w:eastAsia="nb-NO"/>
    </w:rPr>
  </w:style>
  <w:style w:type="paragraph" w:customStyle="1" w:styleId="Overskriftforinnholdsfortegnelse1">
    <w:name w:val="Overskrift for innholdsfortegnelse1"/>
    <w:basedOn w:val="Heading1"/>
    <w:next w:val="Normal"/>
    <w:uiPriority w:val="39"/>
    <w:unhideWhenUsed/>
    <w:rsid w:val="007F3BF7"/>
    <w:pPr>
      <w:tabs>
        <w:tab w:val="clear" w:pos="340"/>
        <w:tab w:val="left" w:pos="510"/>
      </w:tabs>
      <w:spacing w:line="326" w:lineRule="atLeast"/>
      <w:ind w:left="0" w:firstLine="0"/>
      <w:outlineLvl w:val="9"/>
    </w:pPr>
    <w:rPr>
      <w:rFonts w:ascii="Calibri" w:eastAsia="Times New Roman" w:hAnsi="Calibri" w:cs="Times New Roman"/>
      <w:color w:val="365F91"/>
      <w:lang w:val="nb-NO" w:eastAsia="nb-NO"/>
    </w:rPr>
  </w:style>
  <w:style w:type="paragraph" w:customStyle="1" w:styleId="StilVenstre0cm">
    <w:name w:val="Stil Venstre:  0 cm"/>
    <w:basedOn w:val="Normal"/>
    <w:rsid w:val="007F3BF7"/>
    <w:pPr>
      <w:tabs>
        <w:tab w:val="left" w:pos="510"/>
      </w:tabs>
      <w:spacing w:after="0" w:line="326" w:lineRule="atLeast"/>
      <w:ind w:left="2"/>
    </w:pPr>
    <w:rPr>
      <w:rFonts w:ascii="Georgia" w:eastAsia="Times New Roman" w:hAnsi="Georgia" w:cs="Times New Roman"/>
      <w:szCs w:val="20"/>
      <w:lang w:val="nb-NO" w:eastAsia="nb-NO"/>
    </w:rPr>
  </w:style>
  <w:style w:type="paragraph" w:customStyle="1" w:styleId="Tabletext2bullet">
    <w:name w:val="Table text 2 bullet"/>
    <w:basedOn w:val="Normal"/>
    <w:rsid w:val="007F3BF7"/>
    <w:pPr>
      <w:numPr>
        <w:numId w:val="15"/>
      </w:numPr>
      <w:tabs>
        <w:tab w:val="left" w:pos="510"/>
      </w:tabs>
      <w:spacing w:after="0" w:line="326" w:lineRule="atLeast"/>
    </w:pPr>
    <w:rPr>
      <w:rFonts w:ascii="Georgia" w:eastAsia="Times New Roman" w:hAnsi="Georgia" w:cs="Times New Roman"/>
      <w:szCs w:val="21"/>
      <w:lang w:val="nb-NO" w:eastAsia="nb-NO"/>
    </w:rPr>
  </w:style>
  <w:style w:type="paragraph" w:customStyle="1" w:styleId="Tabletextsinglespace">
    <w:name w:val="Table text (single space)"/>
    <w:rsid w:val="007F3BF7"/>
    <w:pPr>
      <w:tabs>
        <w:tab w:val="left" w:pos="510"/>
      </w:tabs>
      <w:spacing w:after="0" w:line="240" w:lineRule="auto"/>
    </w:pPr>
    <w:rPr>
      <w:rFonts w:ascii="Arial Narrow" w:eastAsia="Times New Roman" w:hAnsi="Arial Narrow" w:cs="Times New Roman"/>
      <w:noProof/>
      <w:szCs w:val="24"/>
      <w:lang w:val="nb-NO" w:eastAsia="nb-NO"/>
    </w:rPr>
  </w:style>
  <w:style w:type="paragraph" w:customStyle="1" w:styleId="Normalindented">
    <w:name w:val="Normal indented"/>
    <w:basedOn w:val="Normal"/>
    <w:rsid w:val="007F3BF7"/>
    <w:pPr>
      <w:tabs>
        <w:tab w:val="left" w:pos="510"/>
      </w:tabs>
      <w:spacing w:after="0" w:line="326" w:lineRule="atLeast"/>
      <w:ind w:firstLine="227"/>
    </w:pPr>
    <w:rPr>
      <w:rFonts w:ascii="Georgia" w:eastAsia="Times New Roman" w:hAnsi="Georgia" w:cs="Times New Roman"/>
      <w:szCs w:val="21"/>
      <w:lang w:val="nb-NO" w:eastAsia="nb-NO"/>
    </w:rPr>
  </w:style>
  <w:style w:type="character" w:customStyle="1" w:styleId="NoSpacingChar1">
    <w:name w:val="No Spacing Char1"/>
    <w:basedOn w:val="DefaultParagraphFont"/>
    <w:rsid w:val="007F3BF7"/>
    <w:rPr>
      <w:rFonts w:ascii="Georgia" w:hAnsi="Georgia"/>
      <w:sz w:val="22"/>
      <w:szCs w:val="21"/>
    </w:rPr>
  </w:style>
  <w:style w:type="paragraph" w:styleId="ListParagraph">
    <w:name w:val="List Paragraph"/>
    <w:basedOn w:val="ListBullet"/>
    <w:uiPriority w:val="34"/>
    <w:qFormat/>
    <w:rsid w:val="007F3BF7"/>
    <w:pPr>
      <w:numPr>
        <w:numId w:val="0"/>
      </w:numPr>
    </w:pPr>
    <w:rPr>
      <w:lang w:val="en-US"/>
    </w:rPr>
  </w:style>
  <w:style w:type="paragraph" w:styleId="Quote">
    <w:name w:val="Quote"/>
    <w:basedOn w:val="Normal"/>
    <w:next w:val="Normal"/>
    <w:link w:val="QuoteChar"/>
    <w:qFormat/>
    <w:rsid w:val="007F3BF7"/>
    <w:pPr>
      <w:tabs>
        <w:tab w:val="left" w:pos="510"/>
      </w:tabs>
      <w:spacing w:after="0" w:line="326" w:lineRule="atLeast"/>
    </w:pPr>
    <w:rPr>
      <w:rFonts w:ascii="Georgia" w:eastAsia="Times New Roman" w:hAnsi="Georgia" w:cs="Times New Roman"/>
      <w:i/>
      <w:iCs/>
      <w:color w:val="000000" w:themeColor="text1"/>
      <w:szCs w:val="21"/>
      <w:lang w:val="nb-NO" w:eastAsia="nb-NO"/>
    </w:rPr>
  </w:style>
  <w:style w:type="character" w:customStyle="1" w:styleId="QuoteChar">
    <w:name w:val="Quote Char"/>
    <w:basedOn w:val="DefaultParagraphFont"/>
    <w:link w:val="Quote"/>
    <w:rsid w:val="007F3BF7"/>
    <w:rPr>
      <w:rFonts w:ascii="Georgia" w:eastAsia="Times New Roman" w:hAnsi="Georgia" w:cs="Times New Roman"/>
      <w:i/>
      <w:iCs/>
      <w:color w:val="000000" w:themeColor="text1"/>
      <w:szCs w:val="21"/>
      <w:lang w:val="nb-NO" w:eastAsia="nb-NO"/>
    </w:rPr>
  </w:style>
  <w:style w:type="paragraph" w:styleId="IntenseQuote">
    <w:name w:val="Intense Quote"/>
    <w:basedOn w:val="Normal"/>
    <w:next w:val="Normal"/>
    <w:link w:val="IntenseQuoteChar"/>
    <w:qFormat/>
    <w:rsid w:val="007F3BF7"/>
    <w:pPr>
      <w:framePr w:wrap="around" w:vAnchor="text" w:hAnchor="text" w:y="1"/>
      <w:pBdr>
        <w:top w:val="single" w:sz="4" w:space="10" w:color="C4BC96" w:themeColor="background2" w:themeShade="BF"/>
        <w:left w:val="single" w:sz="4" w:space="10" w:color="C4BC96" w:themeColor="background2" w:themeShade="BF"/>
        <w:bottom w:val="single" w:sz="4" w:space="12" w:color="C4BC96" w:themeColor="background2" w:themeShade="BF"/>
        <w:right w:val="single" w:sz="4" w:space="10" w:color="C4BC96" w:themeColor="background2" w:themeShade="BF"/>
      </w:pBdr>
      <w:shd w:val="clear" w:color="auto" w:fill="EEECE1" w:themeFill="background2"/>
      <w:tabs>
        <w:tab w:val="left" w:pos="510"/>
      </w:tabs>
      <w:spacing w:after="0" w:line="280" w:lineRule="exact"/>
      <w:ind w:left="200" w:right="200"/>
      <w:jc w:val="both"/>
    </w:pPr>
    <w:rPr>
      <w:rFonts w:ascii="Georgia" w:eastAsia="Times New Roman" w:hAnsi="Georgia" w:cs="Times New Roman"/>
      <w:bCs/>
      <w:iCs/>
      <w:sz w:val="20"/>
      <w:szCs w:val="21"/>
      <w:lang w:val="nb-NO" w:eastAsia="nb-NO"/>
    </w:rPr>
  </w:style>
  <w:style w:type="character" w:customStyle="1" w:styleId="IntenseQuoteChar">
    <w:name w:val="Intense Quote Char"/>
    <w:basedOn w:val="DefaultParagraphFont"/>
    <w:link w:val="IntenseQuote"/>
    <w:rsid w:val="007F3BF7"/>
    <w:rPr>
      <w:rFonts w:ascii="Georgia" w:eastAsia="Times New Roman" w:hAnsi="Georgia" w:cs="Times New Roman"/>
      <w:bCs/>
      <w:iCs/>
      <w:sz w:val="20"/>
      <w:szCs w:val="21"/>
      <w:shd w:val="clear" w:color="auto" w:fill="EEECE1" w:themeFill="background2"/>
      <w:lang w:val="nb-NO" w:eastAsia="nb-NO"/>
    </w:rPr>
  </w:style>
  <w:style w:type="paragraph" w:styleId="TOCHeading">
    <w:name w:val="TOC Heading"/>
    <w:basedOn w:val="Heading1"/>
    <w:next w:val="Normal"/>
    <w:uiPriority w:val="39"/>
    <w:semiHidden/>
    <w:unhideWhenUsed/>
    <w:qFormat/>
    <w:rsid w:val="007F3BF7"/>
    <w:pPr>
      <w:tabs>
        <w:tab w:val="clear" w:pos="340"/>
        <w:tab w:val="left" w:pos="510"/>
      </w:tabs>
      <w:spacing w:line="326" w:lineRule="atLeast"/>
      <w:ind w:left="0" w:firstLine="0"/>
      <w:outlineLvl w:val="9"/>
    </w:pPr>
    <w:rPr>
      <w:lang w:val="nb-NO" w:eastAsia="nb-NO"/>
    </w:rPr>
  </w:style>
  <w:style w:type="paragraph" w:customStyle="1" w:styleId="Kunnskapssenteret">
    <w:name w:val="Kunnskapssenteret"/>
    <w:basedOn w:val="IntroHeadingCnoTOC"/>
    <w:link w:val="KunnskapssenteretChar"/>
    <w:qFormat/>
    <w:rsid w:val="007F3BF7"/>
    <w:rPr>
      <w:lang w:val="en-GB"/>
    </w:rPr>
  </w:style>
  <w:style w:type="character" w:customStyle="1" w:styleId="KunnskapssenteretChar">
    <w:name w:val="Kunnskapssenteret Char"/>
    <w:basedOn w:val="DefaultParagraphFont"/>
    <w:link w:val="Kunnskapssenteret"/>
    <w:rsid w:val="007F3BF7"/>
    <w:rPr>
      <w:rFonts w:ascii="Georgia" w:eastAsia="Times New Roman" w:hAnsi="Georgia" w:cs="Times New Roman"/>
      <w:b/>
      <w:noProof/>
      <w:sz w:val="36"/>
      <w:szCs w:val="21"/>
      <w:lang w:eastAsia="nb-NO"/>
    </w:rPr>
  </w:style>
  <w:style w:type="numbering" w:customStyle="1" w:styleId="StyleOutlinenumberedCourierNewBoldLeft0cmHanging02">
    <w:name w:val="Style Outline numbered Courier New Bold Left:  0 cm Hanging:  0...2"/>
    <w:basedOn w:val="NoList"/>
    <w:rsid w:val="007F3BF7"/>
  </w:style>
  <w:style w:type="paragraph" w:customStyle="1" w:styleId="StilColophoneVenstre0cm">
    <w:name w:val="Stil Colophone + Venstre:  0 cm"/>
    <w:basedOn w:val="Normal"/>
    <w:rsid w:val="007F3BF7"/>
    <w:pPr>
      <w:spacing w:after="0" w:line="326" w:lineRule="atLeast"/>
      <w:ind w:left="2"/>
    </w:pPr>
    <w:rPr>
      <w:rFonts w:ascii="Georgia" w:eastAsia="Times New Roman" w:hAnsi="Georgia" w:cs="Times New Roman"/>
      <w:noProof/>
      <w:sz w:val="20"/>
      <w:szCs w:val="20"/>
      <w:lang w:val="en-US" w:eastAsia="nb-NO"/>
    </w:rPr>
  </w:style>
  <w:style w:type="table" w:customStyle="1" w:styleId="LightList-Accent11">
    <w:name w:val="Light List - Accent 11"/>
    <w:basedOn w:val="TableNormal"/>
    <w:rsid w:val="007F3BF7"/>
    <w:pPr>
      <w:spacing w:after="0" w:line="240" w:lineRule="auto"/>
    </w:pPr>
    <w:rPr>
      <w:rFonts w:ascii="Times New Roman" w:eastAsia="Times New Roman" w:hAnsi="Times New Roman" w:cs="Times New Roman"/>
      <w:sz w:val="20"/>
      <w:szCs w:val="20"/>
      <w:lang w:val="nb-NO" w:eastAsia="nb-N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dbdate">
    <w:name w:val="dbdate"/>
    <w:rsid w:val="007F3BF7"/>
    <w:rPr>
      <w:rFonts w:ascii="Times New Roman" w:hAnsi="Times New Roman" w:cs="Times New Roman"/>
    </w:rPr>
  </w:style>
  <w:style w:type="paragraph" w:customStyle="1" w:styleId="EndNoteBibliography">
    <w:name w:val="EndNote Bibliography"/>
    <w:basedOn w:val="Normal"/>
    <w:link w:val="EndNoteBibliographyChar"/>
    <w:rsid w:val="007F3BF7"/>
    <w:pPr>
      <w:tabs>
        <w:tab w:val="left" w:pos="510"/>
      </w:tabs>
      <w:spacing w:after="0" w:line="240" w:lineRule="atLeast"/>
    </w:pPr>
    <w:rPr>
      <w:rFonts w:ascii="Georgia" w:eastAsia="Times New Roman" w:hAnsi="Georgia" w:cs="Times New Roman"/>
      <w:noProof/>
      <w:szCs w:val="21"/>
      <w:lang w:val="nb-NO" w:eastAsia="nb-NO"/>
    </w:rPr>
  </w:style>
  <w:style w:type="character" w:customStyle="1" w:styleId="EndNoteBibliographyChar">
    <w:name w:val="EndNote Bibliography Char"/>
    <w:link w:val="EndNoteBibliography"/>
    <w:rsid w:val="007F3BF7"/>
    <w:rPr>
      <w:rFonts w:ascii="Georgia" w:eastAsia="Times New Roman" w:hAnsi="Georgia" w:cs="Times New Roman"/>
      <w:noProof/>
      <w:szCs w:val="21"/>
      <w:lang w:val="nb-NO" w:eastAsia="nb-NO"/>
    </w:rPr>
  </w:style>
  <w:style w:type="paragraph" w:customStyle="1" w:styleId="EndNoteBibliographyTitle">
    <w:name w:val="EndNote Bibliography Title"/>
    <w:basedOn w:val="Normal"/>
    <w:link w:val="EndNoteBibliographyTitleChar"/>
    <w:rsid w:val="007F3BF7"/>
    <w:pPr>
      <w:tabs>
        <w:tab w:val="left" w:pos="510"/>
      </w:tabs>
      <w:spacing w:after="0" w:line="326" w:lineRule="atLeast"/>
      <w:jc w:val="center"/>
    </w:pPr>
    <w:rPr>
      <w:rFonts w:ascii="Georgia" w:eastAsia="Times New Roman" w:hAnsi="Georgia" w:cs="Times New Roman"/>
      <w:noProof/>
      <w:szCs w:val="21"/>
      <w:lang w:val="nb-NO" w:eastAsia="nb-NO"/>
    </w:rPr>
  </w:style>
  <w:style w:type="character" w:customStyle="1" w:styleId="EndNoteBibliographyTitleChar">
    <w:name w:val="EndNote Bibliography Title Char"/>
    <w:basedOn w:val="DefaultParagraphFont"/>
    <w:link w:val="EndNoteBibliographyTitle"/>
    <w:rsid w:val="007F3BF7"/>
    <w:rPr>
      <w:rFonts w:ascii="Georgia" w:eastAsia="Times New Roman" w:hAnsi="Georgia" w:cs="Times New Roman"/>
      <w:noProof/>
      <w:szCs w:val="21"/>
      <w:lang w:val="nb-NO" w:eastAsia="nb-NO"/>
    </w:rPr>
  </w:style>
  <w:style w:type="character" w:customStyle="1" w:styleId="BalloonTextChar2">
    <w:name w:val="Balloon Text Char2"/>
    <w:basedOn w:val="DefaultParagraphFont"/>
    <w:uiPriority w:val="99"/>
    <w:semiHidden/>
    <w:rsid w:val="007F3BF7"/>
    <w:rPr>
      <w:rFonts w:ascii="Segoe UI" w:hAnsi="Segoe UI" w:cs="Segoe UI"/>
      <w:sz w:val="18"/>
      <w:szCs w:val="18"/>
    </w:rPr>
  </w:style>
  <w:style w:type="paragraph" w:customStyle="1" w:styleId="Default">
    <w:name w:val="Default"/>
    <w:rsid w:val="007F3BF7"/>
    <w:pPr>
      <w:autoSpaceDE w:val="0"/>
      <w:autoSpaceDN w:val="0"/>
      <w:adjustRightInd w:val="0"/>
      <w:spacing w:after="0" w:line="240" w:lineRule="auto"/>
    </w:pPr>
    <w:rPr>
      <w:rFonts w:ascii="Arial" w:hAnsi="Arial" w:cs="Arial"/>
      <w:color w:val="000000"/>
      <w:sz w:val="24"/>
      <w:szCs w:val="24"/>
      <w:lang w:val="nb-NO"/>
    </w:rPr>
  </w:style>
  <w:style w:type="paragraph" w:styleId="Revision">
    <w:name w:val="Revision"/>
    <w:hidden/>
    <w:uiPriority w:val="99"/>
    <w:rsid w:val="007F3BF7"/>
    <w:pPr>
      <w:spacing w:after="0" w:line="240" w:lineRule="auto"/>
    </w:pPr>
    <w:rPr>
      <w:rFonts w:ascii="Georgia" w:eastAsia="Times New Roman" w:hAnsi="Georgia" w:cs="Times New Roman"/>
      <w:szCs w:val="21"/>
      <w:lang w:val="nb-NO" w:eastAsia="nb-NO"/>
    </w:rPr>
  </w:style>
  <w:style w:type="character" w:customStyle="1" w:styleId="tmmark">
    <w:name w:val="tmmark"/>
    <w:basedOn w:val="DefaultParagraphFont"/>
    <w:rsid w:val="007F3BF7"/>
  </w:style>
  <w:style w:type="character" w:customStyle="1" w:styleId="slvzr-first-child">
    <w:name w:val="slvzr-first-child"/>
    <w:basedOn w:val="DefaultParagraphFont"/>
    <w:rsid w:val="007F3BF7"/>
  </w:style>
  <w:style w:type="paragraph" w:customStyle="1" w:styleId="Listeavsnitt1">
    <w:name w:val="Listeavsnitt1"/>
    <w:basedOn w:val="Normal"/>
    <w:uiPriority w:val="99"/>
    <w:qFormat/>
    <w:rsid w:val="007F3BF7"/>
    <w:pPr>
      <w:spacing w:after="0" w:line="240" w:lineRule="auto"/>
      <w:ind w:left="720"/>
      <w:contextualSpacing/>
    </w:pPr>
    <w:rPr>
      <w:rFonts w:ascii="Times New Roman" w:eastAsia="Times New Roman" w:hAnsi="Times New Roman" w:cs="Times New Roman"/>
      <w:sz w:val="24"/>
      <w:szCs w:val="24"/>
      <w:lang w:val="nb-NO" w:eastAsia="nb-NO"/>
    </w:rPr>
  </w:style>
  <w:style w:type="character" w:customStyle="1" w:styleId="underline1">
    <w:name w:val="underline1"/>
    <w:basedOn w:val="DefaultParagraphFont"/>
    <w:rsid w:val="007F3BF7"/>
    <w:rPr>
      <w:u w:val="single"/>
    </w:rPr>
  </w:style>
  <w:style w:type="character" w:customStyle="1" w:styleId="label">
    <w:name w:val="label"/>
    <w:basedOn w:val="DefaultParagraphFont"/>
    <w:rsid w:val="007F3BF7"/>
  </w:style>
  <w:style w:type="character" w:customStyle="1" w:styleId="cell">
    <w:name w:val="cell"/>
    <w:basedOn w:val="DefaultParagraphFont"/>
    <w:rsid w:val="007F3BF7"/>
  </w:style>
  <w:style w:type="character" w:customStyle="1" w:styleId="block">
    <w:name w:val="block"/>
    <w:basedOn w:val="DefaultParagraphFont"/>
    <w:rsid w:val="007F3BF7"/>
  </w:style>
  <w:style w:type="character" w:customStyle="1" w:styleId="quality-sign1">
    <w:name w:val="quality-sign1"/>
    <w:basedOn w:val="DefaultParagraphFont"/>
    <w:rsid w:val="007F3BF7"/>
    <w:rPr>
      <w:rFonts w:ascii="GRADE-quality" w:hAnsi="GRADE-quality" w:hint="default"/>
      <w:sz w:val="21"/>
      <w:szCs w:val="21"/>
    </w:rPr>
  </w:style>
  <w:style w:type="paragraph" w:customStyle="1" w:styleId="Normal1">
    <w:name w:val="Normal1"/>
    <w:basedOn w:val="Normal"/>
    <w:rsid w:val="007F3BF7"/>
    <w:pPr>
      <w:spacing w:after="0" w:line="320" w:lineRule="atLeast"/>
    </w:pPr>
    <w:rPr>
      <w:rFonts w:ascii="Georgia" w:eastAsia="Times New Roman" w:hAnsi="Georgia" w:cs="Times New Roman"/>
      <w:lang w:val="en-US"/>
    </w:rPr>
  </w:style>
  <w:style w:type="character" w:customStyle="1" w:styleId="notranslate">
    <w:name w:val="notranslate"/>
    <w:basedOn w:val="DefaultParagraphFont"/>
    <w:rsid w:val="007F3BF7"/>
  </w:style>
  <w:style w:type="character" w:customStyle="1" w:styleId="google-src-text1">
    <w:name w:val="google-src-text1"/>
    <w:basedOn w:val="DefaultParagraphFont"/>
    <w:rsid w:val="007F3BF7"/>
    <w:rPr>
      <w:vanish/>
      <w:webHidden w:val="0"/>
      <w:specVanish w:val="0"/>
    </w:rPr>
  </w:style>
  <w:style w:type="character" w:customStyle="1" w:styleId="normalchar1">
    <w:name w:val="normal__char1"/>
    <w:basedOn w:val="DefaultParagraphFont"/>
    <w:rsid w:val="007F3BF7"/>
    <w:rPr>
      <w:rFonts w:ascii="Georgia" w:hAnsi="Georgia" w:hint="default"/>
      <w:sz w:val="22"/>
      <w:szCs w:val="22"/>
    </w:rPr>
  </w:style>
  <w:style w:type="character" w:customStyle="1" w:styleId="page0020numberchar1">
    <w:name w:val="page_0020number__char1"/>
    <w:basedOn w:val="DefaultParagraphFont"/>
    <w:rsid w:val="007F3BF7"/>
    <w:rPr>
      <w:rFonts w:ascii="Arial Narrow" w:hAnsi="Arial Narrow" w:hint="default"/>
      <w:sz w:val="18"/>
      <w:szCs w:val="18"/>
    </w:rPr>
  </w:style>
  <w:style w:type="paragraph" w:customStyle="1" w:styleId="xkaLedetekst">
    <w:name w:val="xkaLedetekst"/>
    <w:rsid w:val="006B637D"/>
    <w:pPr>
      <w:spacing w:before="20" w:after="60" w:line="240" w:lineRule="auto"/>
      <w:ind w:left="57"/>
    </w:pPr>
    <w:rPr>
      <w:rFonts w:ascii="Helvetica" w:eastAsia="Times New Roman" w:hAnsi="Helvetica" w:cs="Times New Roman"/>
      <w:noProof/>
      <w:sz w:val="14"/>
      <w:szCs w:val="20"/>
      <w:lang w:val="en-US" w:eastAsia="zh-CN"/>
    </w:rPr>
  </w:style>
  <w:style w:type="paragraph" w:customStyle="1" w:styleId="xkaSkjemaTittel">
    <w:name w:val="xkaSkjemaTittel"/>
    <w:next w:val="Normal"/>
    <w:rsid w:val="006B637D"/>
    <w:pPr>
      <w:spacing w:after="0" w:line="240" w:lineRule="auto"/>
    </w:pPr>
    <w:rPr>
      <w:rFonts w:ascii="Trebuchet MS" w:eastAsia="Times New Roman" w:hAnsi="Trebuchet MS" w:cs="Times New Roman"/>
      <w:b/>
      <w:noProof/>
      <w:sz w:val="44"/>
      <w:szCs w:val="20"/>
      <w:lang w:val="en-US" w:eastAsia="zh-CN"/>
    </w:rPr>
  </w:style>
  <w:style w:type="paragraph" w:customStyle="1" w:styleId="NormalBold">
    <w:name w:val="Normal Bold"/>
    <w:basedOn w:val="Normal"/>
    <w:rsid w:val="006B637D"/>
    <w:pPr>
      <w:spacing w:after="0" w:line="326" w:lineRule="exact"/>
    </w:pPr>
    <w:rPr>
      <w:rFonts w:ascii="Georgia" w:eastAsia="Times New Roman" w:hAnsi="Georgia" w:cs="Times New Roman"/>
      <w:b/>
      <w:szCs w:val="20"/>
      <w:lang w:val="nb-NO" w:eastAsia="zh-CN"/>
    </w:rPr>
  </w:style>
  <w:style w:type="paragraph" w:customStyle="1" w:styleId="Stil10ptFetVenstre025cmFr3ptEtter3pt">
    <w:name w:val="Stil 10 pt Fet Venstre:  025 cm Før:  3 pt Etter:  3 pt"/>
    <w:basedOn w:val="Normal"/>
    <w:rsid w:val="006B637D"/>
    <w:pPr>
      <w:spacing w:before="60" w:after="60" w:line="326" w:lineRule="exact"/>
      <w:ind w:left="142"/>
    </w:pPr>
    <w:rPr>
      <w:rFonts w:ascii="Georgia" w:eastAsia="Times New Roman" w:hAnsi="Georgia" w:cs="Times New Roman"/>
      <w:b/>
      <w:bCs/>
      <w:sz w:val="20"/>
      <w:szCs w:val="20"/>
      <w:lang w:val="nb-NO" w:eastAsia="zh-CN"/>
    </w:rPr>
  </w:style>
  <w:style w:type="paragraph" w:customStyle="1" w:styleId="StilxkaSkjemaTittelVenstre03cmFr3ptEtter3pt">
    <w:name w:val="Stil xkaSkjemaTittel + Venstre:  03 cm Før:  3 pt Etter:  3 pt"/>
    <w:basedOn w:val="xkaSkjemaTittel"/>
    <w:rsid w:val="006B637D"/>
    <w:pPr>
      <w:spacing w:before="60" w:after="60"/>
      <w:ind w:left="170"/>
    </w:pPr>
    <w:rPr>
      <w:bCs/>
    </w:rPr>
  </w:style>
  <w:style w:type="paragraph" w:customStyle="1" w:styleId="Relevancetablelist">
    <w:name w:val="Relevance table list"/>
    <w:basedOn w:val="Normal"/>
    <w:rsid w:val="006B637D"/>
    <w:pPr>
      <w:numPr>
        <w:numId w:val="57"/>
      </w:numPr>
      <w:spacing w:after="0" w:line="326" w:lineRule="exact"/>
    </w:pPr>
    <w:rPr>
      <w:rFonts w:ascii="Georgia" w:eastAsia="Times New Roman" w:hAnsi="Georgia" w:cs="Times New Roman"/>
      <w:szCs w:val="20"/>
      <w:lang w:val="nb-NO" w:eastAsia="zh-CN"/>
    </w:rPr>
  </w:style>
  <w:style w:type="character" w:customStyle="1" w:styleId="hps">
    <w:name w:val="hps"/>
    <w:basedOn w:val="DefaultParagraphFont"/>
    <w:rsid w:val="006B637D"/>
  </w:style>
  <w:style w:type="paragraph" w:customStyle="1" w:styleId="expandotherbutton">
    <w:name w:val="expandotherbutton"/>
    <w:basedOn w:val="Normal"/>
    <w:rsid w:val="006B637D"/>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pagecontentatctreeview0">
    <w:name w:val="pagecontent_atctreeview_0"/>
    <w:basedOn w:val="DefaultParagraphFont"/>
    <w:rsid w:val="006B637D"/>
  </w:style>
  <w:style w:type="character" w:customStyle="1" w:styleId="journal">
    <w:name w:val="journal"/>
    <w:basedOn w:val="DefaultParagraphFont"/>
    <w:rsid w:val="006B637D"/>
  </w:style>
  <w:style w:type="character" w:customStyle="1" w:styleId="jnumber">
    <w:name w:val="jnumber"/>
    <w:basedOn w:val="DefaultParagraphFont"/>
    <w:rsid w:val="006B637D"/>
  </w:style>
  <w:style w:type="character" w:customStyle="1" w:styleId="dic">
    <w:name w:val="dic"/>
    <w:basedOn w:val="DefaultParagraphFont"/>
    <w:rsid w:val="006B637D"/>
  </w:style>
</w:styles>
</file>

<file path=word/webSettings.xml><?xml version="1.0" encoding="utf-8"?>
<w:webSettings xmlns:r="http://schemas.openxmlformats.org/officeDocument/2006/relationships" xmlns:w="http://schemas.openxmlformats.org/wordprocessingml/2006/main">
  <w:divs>
    <w:div w:id="541789961">
      <w:bodyDiv w:val="1"/>
      <w:marLeft w:val="0"/>
      <w:marRight w:val="0"/>
      <w:marTop w:val="0"/>
      <w:marBottom w:val="0"/>
      <w:divBdr>
        <w:top w:val="none" w:sz="0" w:space="0" w:color="auto"/>
        <w:left w:val="none" w:sz="0" w:space="0" w:color="auto"/>
        <w:bottom w:val="none" w:sz="0" w:space="0" w:color="auto"/>
        <w:right w:val="none" w:sz="0" w:space="0" w:color="auto"/>
      </w:divBdr>
    </w:div>
    <w:div w:id="1601140140">
      <w:bodyDiv w:val="1"/>
      <w:marLeft w:val="0"/>
      <w:marRight w:val="0"/>
      <w:marTop w:val="0"/>
      <w:marBottom w:val="0"/>
      <w:divBdr>
        <w:top w:val="none" w:sz="0" w:space="0" w:color="auto"/>
        <w:left w:val="none" w:sz="0" w:space="0" w:color="auto"/>
        <w:bottom w:val="none" w:sz="0" w:space="0" w:color="auto"/>
        <w:right w:val="none" w:sz="0" w:space="0" w:color="auto"/>
      </w:divBdr>
    </w:div>
    <w:div w:id="1858421365">
      <w:bodyDiv w:val="1"/>
      <w:marLeft w:val="0"/>
      <w:marRight w:val="0"/>
      <w:marTop w:val="0"/>
      <w:marBottom w:val="0"/>
      <w:divBdr>
        <w:top w:val="none" w:sz="0" w:space="0" w:color="auto"/>
        <w:left w:val="none" w:sz="0" w:space="0" w:color="auto"/>
        <w:bottom w:val="none" w:sz="0" w:space="0" w:color="auto"/>
        <w:right w:val="none" w:sz="0" w:space="0" w:color="auto"/>
      </w:divBdr>
    </w:div>
    <w:div w:id="201479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who.int/trialsearch/Trial2.aspx?TrialID=EUCTR2009-015007-97-IT" TargetMode="External"/><Relationship Id="rId18" Type="http://schemas.openxmlformats.org/officeDocument/2006/relationships/hyperlink" Target="http://apps.who.int/trialsearch/Trial2.aspx?TrialID=EUCTR2008-007162-32-IT" TargetMode="External"/><Relationship Id="rId26" Type="http://schemas.openxmlformats.org/officeDocument/2006/relationships/hyperlink" Target="http://apps.who.int/trialsearch/Trial2.aspx?TrialID=EUCTR2013-001895-40-IE" TargetMode="External"/><Relationship Id="rId39" Type="http://schemas.openxmlformats.org/officeDocument/2006/relationships/image" Target="media/image4.jpeg"/><Relationship Id="rId21" Type="http://schemas.openxmlformats.org/officeDocument/2006/relationships/hyperlink" Target="http://apps.who.int/trialsearch/Trial2.aspx?TrialID=EUCTR2006-003361-14-FI" TargetMode="External"/><Relationship Id="rId34" Type="http://schemas.openxmlformats.org/officeDocument/2006/relationships/hyperlink" Target="http://apps.who.int/trialsearch/Trial2.aspx?TrialID=EUCTR2010-020337-99-GB" TargetMode="External"/><Relationship Id="rId42" Type="http://schemas.openxmlformats.org/officeDocument/2006/relationships/image" Target="media/image7.emf"/><Relationship Id="rId47" Type="http://schemas.openxmlformats.org/officeDocument/2006/relationships/image" Target="media/image12.emf"/><Relationship Id="rId50" Type="http://schemas.openxmlformats.org/officeDocument/2006/relationships/image" Target="media/image15.emf"/><Relationship Id="rId55" Type="http://schemas.openxmlformats.org/officeDocument/2006/relationships/theme" Target="theme/theme1.xml"/><Relationship Id="rId7" Type="http://schemas.openxmlformats.org/officeDocument/2006/relationships/hyperlink" Target="http://www.inahta.org/our-members/members/finohta/" TargetMode="External"/><Relationship Id="rId12" Type="http://schemas.openxmlformats.org/officeDocument/2006/relationships/image" Target="media/image1.jpeg"/><Relationship Id="rId17" Type="http://schemas.openxmlformats.org/officeDocument/2006/relationships/hyperlink" Target="http://apps.who.int/trialsearch/Trial2.aspx?TrialID=EUCTR2008-007162-32-IT" TargetMode="External"/><Relationship Id="rId25" Type="http://schemas.openxmlformats.org/officeDocument/2006/relationships/hyperlink" Target="http://apps.who.int/trialsearch/Trial2.aspx?TrialID=EUCTR2013-004622-29-IT" TargetMode="External"/><Relationship Id="rId33" Type="http://schemas.openxmlformats.org/officeDocument/2006/relationships/hyperlink" Target="http://apps.who.int/trialsearch/Trial2.aspx?TrialID=EUCTR2010-023023-19-IT" TargetMode="External"/><Relationship Id="rId38" Type="http://schemas.openxmlformats.org/officeDocument/2006/relationships/image" Target="media/image3.emf"/><Relationship Id="rId46"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hyperlink" Target="http://apps.who.int/trialsearch/Trial2.aspx?TrialID=EUCTR2008-004753-14-BE" TargetMode="External"/><Relationship Id="rId20" Type="http://schemas.openxmlformats.org/officeDocument/2006/relationships/hyperlink" Target="http://apps.who.int/trialsearch/Trial2.aspx?TrialID=EUCTR2007-001162-32-GB" TargetMode="External"/><Relationship Id="rId29" Type="http://schemas.openxmlformats.org/officeDocument/2006/relationships/hyperlink" Target="http://apps.who.int/trialsearch/Trial2.aspx?TrialID=EUCTR2012-005086-12-AT" TargetMode="External"/><Relationship Id="rId41" Type="http://schemas.openxmlformats.org/officeDocument/2006/relationships/image" Target="media/image6.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cide-collaboration.eu/tools-decision-making-and-dissemination-under-development.%5bAccessed" TargetMode="External"/><Relationship Id="rId24" Type="http://schemas.openxmlformats.org/officeDocument/2006/relationships/hyperlink" Target="http://apps.who.int/trialsearch/Trial2.aspx?TrialID=EUCTR2013-004622-29-IT" TargetMode="External"/><Relationship Id="rId32" Type="http://schemas.openxmlformats.org/officeDocument/2006/relationships/hyperlink" Target="http://apps.who.int/trialsearch/Trial2.aspx?TrialID=EUCTR2010-020315-36-BE" TargetMode="External"/><Relationship Id="rId37" Type="http://schemas.openxmlformats.org/officeDocument/2006/relationships/image" Target="media/image2.emf"/><Relationship Id="rId40" Type="http://schemas.openxmlformats.org/officeDocument/2006/relationships/image" Target="media/image5.emf"/><Relationship Id="rId45" Type="http://schemas.openxmlformats.org/officeDocument/2006/relationships/image" Target="media/image10.jpeg"/><Relationship Id="rId53"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hyperlink" Target="http://apps.who.int/trialsearch/Trial2.aspx?TrialID=EUCTR2008-004753-14-BE" TargetMode="External"/><Relationship Id="rId23" Type="http://schemas.openxmlformats.org/officeDocument/2006/relationships/hyperlink" Target="http://apps.who.int/trialsearch/Trial2.aspx?TrialID=NCT02410278" TargetMode="External"/><Relationship Id="rId28" Type="http://schemas.openxmlformats.org/officeDocument/2006/relationships/hyperlink" Target="http://apps.who.int/trialsearch/Trial2.aspx?TrialID=EUCTR2012-005086-12-AT" TargetMode="External"/><Relationship Id="rId36" Type="http://schemas.openxmlformats.org/officeDocument/2006/relationships/footer" Target="footer1.xml"/><Relationship Id="rId49" Type="http://schemas.openxmlformats.org/officeDocument/2006/relationships/image" Target="media/image14.emf"/><Relationship Id="rId10" Type="http://schemas.openxmlformats.org/officeDocument/2006/relationships/hyperlink" Target="http://www.gradeworkinggroup.org/.%5bAccessed" TargetMode="External"/><Relationship Id="rId19" Type="http://schemas.openxmlformats.org/officeDocument/2006/relationships/hyperlink" Target="http://apps.who.int/trialsearch/Trial2.aspx?TrialID=EUCTR2007-001162-32-GB" TargetMode="External"/><Relationship Id="rId31" Type="http://schemas.openxmlformats.org/officeDocument/2006/relationships/hyperlink" Target="http://apps.who.int/trialsearch/Trial2.aspx?TrialID=NCT01633112" TargetMode="External"/><Relationship Id="rId44" Type="http://schemas.openxmlformats.org/officeDocument/2006/relationships/image" Target="media/image9.emf"/><Relationship Id="rId52" Type="http://schemas.openxmlformats.org/officeDocument/2006/relationships/image" Target="media/image17.emf"/><Relationship Id="rId4" Type="http://schemas.openxmlformats.org/officeDocument/2006/relationships/webSettings" Target="webSettings.xml"/><Relationship Id="rId9" Type="http://schemas.openxmlformats.org/officeDocument/2006/relationships/hyperlink" Target="http://nevro.legehandboka.no/demyeliniserende-sykdommer/ms-multippel-sklerose-31960.html.%5bAccessed" TargetMode="External"/><Relationship Id="rId14" Type="http://schemas.openxmlformats.org/officeDocument/2006/relationships/hyperlink" Target="http://apps.who.int/trialsearch/Trial2.aspx?TrialID=EUCTR2009-015007-97-IT" TargetMode="External"/><Relationship Id="rId22" Type="http://schemas.openxmlformats.org/officeDocument/2006/relationships/hyperlink" Target="http://apps.who.int/trialsearch/Trial2.aspx?TrialID=EUCTR2004-004903-39-GB" TargetMode="External"/><Relationship Id="rId27" Type="http://schemas.openxmlformats.org/officeDocument/2006/relationships/hyperlink" Target="http://apps.who.int/trialsearch/Trial2.aspx?TrialID=EUCTR2013-001895-40-IE" TargetMode="External"/><Relationship Id="rId30" Type="http://schemas.openxmlformats.org/officeDocument/2006/relationships/hyperlink" Target="http://apps.who.int/trialsearch/Trial2.aspx?TrialID=NCT01633112" TargetMode="External"/><Relationship Id="rId35" Type="http://schemas.openxmlformats.org/officeDocument/2006/relationships/header" Target="header1.xml"/><Relationship Id="rId43" Type="http://schemas.openxmlformats.org/officeDocument/2006/relationships/image" Target="media/image8.jpeg"/><Relationship Id="rId48" Type="http://schemas.openxmlformats.org/officeDocument/2006/relationships/image" Target="media/image13.emf"/><Relationship Id="rId56" Type="http://schemas.microsoft.com/office/2007/relationships/stylesWithEffects" Target="stylesWithEffects.xml"/><Relationship Id="rId8" Type="http://schemas.openxmlformats.org/officeDocument/2006/relationships/hyperlink" Target="http://www.ncbi.nlm.nih.gov/pubmedhealth/PMH0001747/.%5bAccessed" TargetMode="External"/><Relationship Id="rId51" Type="http://schemas.openxmlformats.org/officeDocument/2006/relationships/image" Target="media/image16.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43745</Words>
  <Characters>249353</Characters>
  <Application>Microsoft Office Word</Application>
  <DocSecurity>0</DocSecurity>
  <Lines>2077</Lines>
  <Paragraphs>585</Paragraphs>
  <ScaleCrop>false</ScaleCrop>
  <HeadingPairs>
    <vt:vector size="2" baseType="variant">
      <vt:variant>
        <vt:lpstr>Title</vt:lpstr>
      </vt:variant>
      <vt:variant>
        <vt:i4>1</vt:i4>
      </vt:variant>
    </vt:vector>
  </HeadingPairs>
  <TitlesOfParts>
    <vt:vector size="1" baseType="lpstr">
      <vt:lpstr/>
    </vt:vector>
  </TitlesOfParts>
  <Company>Takeda</Company>
  <LinksUpToDate>false</LinksUpToDate>
  <CharactersWithSpaces>292513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Hamidi, Vida</dc:creator>
  <cp:lastModifiedBy>may</cp:lastModifiedBy>
  <cp:revision>2</cp:revision>
  <dcterms:created xsi:type="dcterms:W3CDTF">2017-11-27T12:25:00Z</dcterms:created>
  <dcterms:modified xsi:type="dcterms:W3CDTF">2017-11-27T12:25:00Z</dcterms:modified>
</cp:coreProperties>
</file>